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0"/>
          <w:szCs w:val="30"/>
          <w:u w:val="none"/>
          <w:lang w:val="en-US" w:eastAsia="zh-CN"/>
        </w:rPr>
      </w:pPr>
      <w:r>
        <w:rPr>
          <w:rFonts w:hint="eastAsia" w:ascii="黑体" w:hAnsi="黑体" w:eastAsia="黑体" w:cs="黑体"/>
          <w:sz w:val="30"/>
          <w:szCs w:val="30"/>
          <w:u w:val="none"/>
          <w:lang w:eastAsia="zh-CN"/>
        </w:rPr>
        <w:t>附件</w:t>
      </w:r>
      <w:r>
        <w:rPr>
          <w:rFonts w:hint="eastAsia" w:ascii="黑体" w:hAnsi="黑体" w:eastAsia="黑体" w:cs="黑体"/>
          <w:sz w:val="30"/>
          <w:szCs w:val="30"/>
          <w:u w:val="none"/>
          <w:lang w:val="en-US" w:eastAsia="zh-CN"/>
        </w:rPr>
        <w:t>2</w:t>
      </w:r>
      <w:bookmarkStart w:id="0" w:name="_GoBack"/>
      <w:bookmarkEnd w:id="0"/>
    </w:p>
    <w:p>
      <w:pPr>
        <w:spacing w:line="500" w:lineRule="exact"/>
        <w:jc w:val="center"/>
        <w:rPr>
          <w:rFonts w:hint="eastAsia" w:ascii="方正小标宋简体" w:hAnsi="方正小标宋简体" w:eastAsia="方正小标宋简体" w:cs="方正小标宋简体"/>
          <w:sz w:val="36"/>
          <w:szCs w:val="36"/>
          <w:u w:val="none"/>
          <w:lang w:eastAsia="zh-CN"/>
        </w:rPr>
      </w:pPr>
      <w:r>
        <w:rPr>
          <w:rFonts w:hint="eastAsia" w:ascii="方正小标宋简体" w:hAnsi="方正小标宋简体" w:eastAsia="方正小标宋简体" w:cs="方正小标宋简体"/>
          <w:sz w:val="36"/>
          <w:szCs w:val="36"/>
          <w:u w:val="none"/>
        </w:rPr>
        <w:t>三明生态新城湿地公园</w:t>
      </w:r>
      <w:r>
        <w:rPr>
          <w:rFonts w:hint="eastAsia" w:ascii="方正小标宋简体" w:hAnsi="方正小标宋简体" w:eastAsia="方正小标宋简体" w:cs="方正小标宋简体"/>
          <w:sz w:val="36"/>
          <w:szCs w:val="36"/>
          <w:u w:val="none"/>
          <w:lang w:eastAsia="zh-CN"/>
        </w:rPr>
        <w:t>百蝶</w:t>
      </w:r>
      <w:r>
        <w:rPr>
          <w:rFonts w:hint="eastAsia" w:ascii="方正小标宋简体" w:hAnsi="方正小标宋简体" w:eastAsia="方正小标宋简体" w:cs="方正小标宋简体"/>
          <w:sz w:val="36"/>
          <w:szCs w:val="36"/>
          <w:u w:val="none"/>
        </w:rPr>
        <w:t>花海</w:t>
      </w:r>
      <w:r>
        <w:rPr>
          <w:rFonts w:hint="eastAsia" w:ascii="方正小标宋简体" w:hAnsi="方正小标宋简体" w:eastAsia="方正小标宋简体" w:cs="方正小标宋简体"/>
          <w:sz w:val="36"/>
          <w:szCs w:val="36"/>
          <w:u w:val="none"/>
          <w:lang w:eastAsia="zh-CN"/>
        </w:rPr>
        <w:t>项目评标办法</w:t>
      </w:r>
    </w:p>
    <w:p>
      <w:pPr>
        <w:spacing w:line="500" w:lineRule="exact"/>
        <w:rPr>
          <w:rFonts w:hint="eastAsia" w:ascii="方正小标宋简体" w:hAnsi="方正小标宋简体" w:eastAsia="方正小标宋简体" w:cs="方正小标宋简体"/>
          <w:sz w:val="44"/>
          <w:szCs w:val="44"/>
          <w:u w:val="none"/>
          <w:lang w:eastAsia="zh-CN"/>
        </w:rPr>
      </w:pPr>
    </w:p>
    <w:p>
      <w:pPr>
        <w:spacing w:line="500" w:lineRule="exact"/>
        <w:rPr>
          <w:rFonts w:hint="eastAsia" w:ascii="黑体" w:hAnsi="黑体" w:eastAsia="黑体" w:cs="Times New Roman"/>
          <w:bCs/>
          <w:sz w:val="32"/>
          <w:szCs w:val="32"/>
        </w:rPr>
      </w:pPr>
      <w:r>
        <w:rPr>
          <w:rFonts w:hint="eastAsia" w:ascii="黑体" w:hAnsi="黑体" w:eastAsia="黑体" w:cs="Times New Roman"/>
          <w:bCs/>
          <w:sz w:val="32"/>
          <w:szCs w:val="32"/>
        </w:rPr>
        <w:t>本项目评标采用综合评分法，各部分分值分布如下：</w:t>
      </w:r>
    </w:p>
    <w:p>
      <w:pPr>
        <w:spacing w:line="5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PF：价格部分评分           满分</w:t>
      </w:r>
      <w:r>
        <w:rPr>
          <w:rFonts w:hint="eastAsia" w:ascii="仿宋" w:hAnsi="仿宋" w:eastAsia="仿宋"/>
          <w:sz w:val="32"/>
          <w:szCs w:val="32"/>
        </w:rPr>
        <w:t>3</w:t>
      </w:r>
      <w:r>
        <w:rPr>
          <w:rFonts w:hint="eastAsia" w:ascii="仿宋" w:hAnsi="仿宋" w:eastAsia="仿宋" w:cs="Times New Roman"/>
          <w:sz w:val="32"/>
          <w:szCs w:val="32"/>
        </w:rPr>
        <w:t>0分</w:t>
      </w:r>
    </w:p>
    <w:p>
      <w:pPr>
        <w:spacing w:line="5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PT：技术部分评分           满分</w:t>
      </w:r>
      <w:r>
        <w:rPr>
          <w:rFonts w:hint="eastAsia" w:ascii="仿宋" w:hAnsi="仿宋" w:eastAsia="仿宋"/>
          <w:sz w:val="32"/>
          <w:szCs w:val="32"/>
        </w:rPr>
        <w:t>70</w:t>
      </w:r>
      <w:r>
        <w:rPr>
          <w:rFonts w:hint="eastAsia" w:ascii="仿宋" w:hAnsi="仿宋" w:eastAsia="仿宋" w:cs="Times New Roman"/>
          <w:sz w:val="32"/>
          <w:szCs w:val="32"/>
        </w:rPr>
        <w:t>分</w:t>
      </w:r>
    </w:p>
    <w:p>
      <w:pPr>
        <w:spacing w:line="500" w:lineRule="exact"/>
        <w:ind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PT的最终得分为本项各评委评分去掉一个最高分和一个最低分后的算术平均值，四舍五入后取小数点后的2位数。</w:t>
      </w:r>
    </w:p>
    <w:p>
      <w:pPr>
        <w:pStyle w:val="2"/>
        <w:spacing w:line="5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综合得分：P＝PF＋PT</w:t>
      </w:r>
    </w:p>
    <w:p>
      <w:pPr>
        <w:rPr>
          <w:rFonts w:ascii="黑体" w:hAnsi="黑体" w:eastAsia="黑体"/>
          <w:sz w:val="32"/>
          <w:szCs w:val="32"/>
        </w:rPr>
      </w:pPr>
      <w:r>
        <w:rPr>
          <w:rFonts w:hint="eastAsia" w:ascii="黑体" w:hAnsi="黑体" w:eastAsia="黑体"/>
          <w:sz w:val="32"/>
          <w:szCs w:val="32"/>
        </w:rPr>
        <w:t>一、技术评分PT（70分）</w:t>
      </w:r>
    </w:p>
    <w:tbl>
      <w:tblPr>
        <w:tblStyle w:val="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序号</w:t>
            </w:r>
          </w:p>
        </w:tc>
        <w:tc>
          <w:tcPr>
            <w:tcW w:w="851" w:type="dxa"/>
          </w:tcPr>
          <w:p>
            <w:pPr>
              <w:rPr>
                <w:sz w:val="24"/>
                <w:szCs w:val="24"/>
              </w:rPr>
            </w:pPr>
            <w:r>
              <w:rPr>
                <w:rFonts w:hint="eastAsia"/>
                <w:sz w:val="24"/>
                <w:szCs w:val="24"/>
              </w:rPr>
              <w:t>分值</w:t>
            </w:r>
          </w:p>
        </w:tc>
        <w:tc>
          <w:tcPr>
            <w:tcW w:w="6804" w:type="dxa"/>
          </w:tcPr>
          <w:p>
            <w:pPr>
              <w:rPr>
                <w:sz w:val="24"/>
                <w:szCs w:val="24"/>
              </w:rPr>
            </w:pPr>
            <w:r>
              <w:rPr>
                <w:rFonts w:hint="eastAsia"/>
                <w:sz w:val="24"/>
                <w:szCs w:val="24"/>
              </w:rPr>
              <w:t>评分方法描述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1</w:t>
            </w:r>
          </w:p>
        </w:tc>
        <w:tc>
          <w:tcPr>
            <w:tcW w:w="851" w:type="dxa"/>
          </w:tcPr>
          <w:p>
            <w:pPr>
              <w:rPr>
                <w:sz w:val="24"/>
                <w:szCs w:val="24"/>
              </w:rPr>
            </w:pPr>
            <w:r>
              <w:rPr>
                <w:rFonts w:hint="eastAsia"/>
                <w:sz w:val="24"/>
                <w:szCs w:val="24"/>
              </w:rPr>
              <w:t>10</w:t>
            </w:r>
          </w:p>
        </w:tc>
        <w:tc>
          <w:tcPr>
            <w:tcW w:w="6804" w:type="dxa"/>
          </w:tcPr>
          <w:p>
            <w:pPr>
              <w:rPr>
                <w:sz w:val="24"/>
                <w:szCs w:val="24"/>
              </w:rPr>
            </w:pPr>
            <w:r>
              <w:rPr>
                <w:rFonts w:hint="eastAsia"/>
                <w:sz w:val="24"/>
                <w:szCs w:val="24"/>
              </w:rPr>
              <w:t>根据方案中游览和休闲设置布局是否合理、内容丰富程度、与湿地公园景区是否相协调等进行横向对比，优的得10分，良的得8分，一般的得6分；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2</w:t>
            </w:r>
          </w:p>
        </w:tc>
        <w:tc>
          <w:tcPr>
            <w:tcW w:w="851" w:type="dxa"/>
          </w:tcPr>
          <w:p>
            <w:pPr>
              <w:rPr>
                <w:sz w:val="24"/>
                <w:szCs w:val="24"/>
              </w:rPr>
            </w:pPr>
            <w:r>
              <w:rPr>
                <w:rFonts w:hint="eastAsia"/>
                <w:sz w:val="24"/>
                <w:szCs w:val="24"/>
              </w:rPr>
              <w:t>10</w:t>
            </w:r>
          </w:p>
        </w:tc>
        <w:tc>
          <w:tcPr>
            <w:tcW w:w="6804" w:type="dxa"/>
          </w:tcPr>
          <w:p>
            <w:pPr>
              <w:rPr>
                <w:sz w:val="24"/>
                <w:szCs w:val="24"/>
              </w:rPr>
            </w:pPr>
            <w:r>
              <w:rPr>
                <w:rFonts w:hint="eastAsia"/>
                <w:sz w:val="24"/>
                <w:szCs w:val="24"/>
              </w:rPr>
              <w:t>花海设计：有年度花期设计，花海设计有特色，有主题，种植面积大、连片程度高、种植覆盖率高，根据方案进行横向对比，优的得10分，良的得8分，一般的得6分。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3</w:t>
            </w:r>
          </w:p>
        </w:tc>
        <w:tc>
          <w:tcPr>
            <w:tcW w:w="851" w:type="dxa"/>
          </w:tcPr>
          <w:p>
            <w:pPr>
              <w:rPr>
                <w:sz w:val="24"/>
                <w:szCs w:val="24"/>
              </w:rPr>
            </w:pPr>
            <w:r>
              <w:rPr>
                <w:rFonts w:hint="eastAsia"/>
                <w:sz w:val="24"/>
                <w:szCs w:val="24"/>
              </w:rPr>
              <w:t>10</w:t>
            </w:r>
          </w:p>
        </w:tc>
        <w:tc>
          <w:tcPr>
            <w:tcW w:w="6804" w:type="dxa"/>
          </w:tcPr>
          <w:p>
            <w:pPr>
              <w:rPr>
                <w:sz w:val="24"/>
                <w:szCs w:val="24"/>
              </w:rPr>
            </w:pPr>
            <w:r>
              <w:rPr>
                <w:rFonts w:hint="eastAsia"/>
                <w:sz w:val="24"/>
                <w:szCs w:val="24"/>
              </w:rPr>
              <w:t>根据投标人承诺项目运营后给予招标人在公务接待、活动组织等方面的优惠条件进行横向对比，优的得10分，良的得8分，一般的得6分，需提供承诺函，未提供不得分；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4</w:t>
            </w:r>
          </w:p>
        </w:tc>
        <w:tc>
          <w:tcPr>
            <w:tcW w:w="851" w:type="dxa"/>
          </w:tcPr>
          <w:p>
            <w:pPr>
              <w:rPr>
                <w:sz w:val="24"/>
                <w:szCs w:val="24"/>
              </w:rPr>
            </w:pPr>
            <w:r>
              <w:rPr>
                <w:rFonts w:hint="eastAsia"/>
                <w:sz w:val="24"/>
                <w:szCs w:val="24"/>
              </w:rPr>
              <w:t>10</w:t>
            </w:r>
          </w:p>
        </w:tc>
        <w:tc>
          <w:tcPr>
            <w:tcW w:w="6804" w:type="dxa"/>
          </w:tcPr>
          <w:p>
            <w:pPr>
              <w:rPr>
                <w:sz w:val="24"/>
                <w:szCs w:val="24"/>
              </w:rPr>
            </w:pPr>
            <w:r>
              <w:rPr>
                <w:rFonts w:hint="eastAsia"/>
                <w:sz w:val="24"/>
                <w:szCs w:val="24"/>
              </w:rPr>
              <w:t>根据各投标人针对本项目承诺所投入的设施设备情况（含基础设施的建设、游乐设施的建设、车辆、主要设备等）进行横向对比，优的得10分，良的得8分，一般的得6分。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5</w:t>
            </w:r>
          </w:p>
        </w:tc>
        <w:tc>
          <w:tcPr>
            <w:tcW w:w="851" w:type="dxa"/>
          </w:tcPr>
          <w:p>
            <w:pPr>
              <w:rPr>
                <w:sz w:val="24"/>
                <w:szCs w:val="24"/>
              </w:rPr>
            </w:pPr>
            <w:r>
              <w:rPr>
                <w:rFonts w:hint="eastAsia"/>
                <w:sz w:val="24"/>
                <w:szCs w:val="24"/>
              </w:rPr>
              <w:t>10</w:t>
            </w:r>
          </w:p>
        </w:tc>
        <w:tc>
          <w:tcPr>
            <w:tcW w:w="6804" w:type="dxa"/>
          </w:tcPr>
          <w:p>
            <w:pPr>
              <w:rPr>
                <w:sz w:val="24"/>
                <w:szCs w:val="24"/>
              </w:rPr>
            </w:pPr>
            <w:r>
              <w:rPr>
                <w:rFonts w:hint="eastAsia"/>
                <w:sz w:val="24"/>
                <w:szCs w:val="24"/>
              </w:rPr>
              <w:t>安全生产措施：有突发事件应急预案、有安全保护设施，投标方应承诺承担在经营过程中的一切安全责任。根据方案中对旅游安全的人员投入、应对措施、承若情况进行横向对比，优的得10分，良的得8分，一般的得6分，无安全措施、承诺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6</w:t>
            </w:r>
          </w:p>
        </w:tc>
        <w:tc>
          <w:tcPr>
            <w:tcW w:w="851" w:type="dxa"/>
          </w:tcPr>
          <w:p>
            <w:pPr>
              <w:rPr>
                <w:sz w:val="24"/>
                <w:szCs w:val="24"/>
              </w:rPr>
            </w:pPr>
            <w:r>
              <w:rPr>
                <w:rFonts w:hint="eastAsia"/>
                <w:sz w:val="24"/>
                <w:szCs w:val="24"/>
              </w:rPr>
              <w:t>10</w:t>
            </w:r>
          </w:p>
        </w:tc>
        <w:tc>
          <w:tcPr>
            <w:tcW w:w="6804" w:type="dxa"/>
          </w:tcPr>
          <w:p>
            <w:pPr>
              <w:rPr>
                <w:sz w:val="24"/>
                <w:szCs w:val="24"/>
              </w:rPr>
            </w:pPr>
            <w:r>
              <w:rPr>
                <w:rFonts w:hint="eastAsia"/>
                <w:sz w:val="24"/>
                <w:szCs w:val="24"/>
              </w:rPr>
              <w:t>根据投标人对项目红线范围内现有基础设施维护的承诺情况及卫生保洁方案进行横向对比，优的的10分、良的得8分、一般的得6分，未提供不得分。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7</w:t>
            </w:r>
          </w:p>
        </w:tc>
        <w:tc>
          <w:tcPr>
            <w:tcW w:w="851" w:type="dxa"/>
          </w:tcPr>
          <w:p>
            <w:pPr>
              <w:rPr>
                <w:sz w:val="24"/>
                <w:szCs w:val="24"/>
              </w:rPr>
            </w:pPr>
            <w:r>
              <w:rPr>
                <w:rFonts w:hint="eastAsia"/>
                <w:sz w:val="24"/>
                <w:szCs w:val="24"/>
              </w:rPr>
              <w:t>5</w:t>
            </w:r>
          </w:p>
        </w:tc>
        <w:tc>
          <w:tcPr>
            <w:tcW w:w="6804" w:type="dxa"/>
          </w:tcPr>
          <w:p>
            <w:pPr>
              <w:rPr>
                <w:sz w:val="24"/>
                <w:szCs w:val="24"/>
              </w:rPr>
            </w:pPr>
            <w:r>
              <w:rPr>
                <w:rFonts w:hint="eastAsia" w:ascii="Calibri" w:hAnsi="Calibri" w:eastAsia="宋体" w:cs="Times New Roman"/>
                <w:sz w:val="24"/>
                <w:szCs w:val="24"/>
              </w:rPr>
              <w:t>投标人注册地在三明地区或在三明地区设有独立法人分支机构的得</w:t>
            </w:r>
            <w:r>
              <w:rPr>
                <w:rFonts w:hint="eastAsia"/>
                <w:sz w:val="24"/>
                <w:szCs w:val="24"/>
              </w:rPr>
              <w:t>5</w:t>
            </w:r>
            <w:r>
              <w:rPr>
                <w:rFonts w:hint="eastAsia" w:ascii="Calibri" w:hAnsi="Calibri" w:eastAsia="宋体" w:cs="Times New Roman"/>
                <w:sz w:val="24"/>
                <w:szCs w:val="24"/>
              </w:rPr>
              <w:t>分；注册地在福建省或在福建省内设有独立法人分支机构的得</w:t>
            </w:r>
            <w:r>
              <w:rPr>
                <w:rFonts w:hint="eastAsia"/>
                <w:sz w:val="24"/>
                <w:szCs w:val="24"/>
              </w:rPr>
              <w:t>3</w:t>
            </w:r>
            <w:r>
              <w:rPr>
                <w:rFonts w:hint="eastAsia" w:ascii="Calibri" w:hAnsi="Calibri" w:eastAsia="宋体" w:cs="Times New Roman"/>
                <w:sz w:val="24"/>
                <w:szCs w:val="24"/>
              </w:rPr>
              <w:t>分；未在以上范围设有机构的得1分。须提供投标人分公司的营业执照 (分公司营业执照注册登记时间须在招标公告发布前)，工商注册地在项目所在地的投标人无须提供此分公司维保服务机构证明，投标文件中须附上以上证明材料复印件并加盖投标人公章，未提供的不得分。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8</w:t>
            </w:r>
          </w:p>
        </w:tc>
        <w:tc>
          <w:tcPr>
            <w:tcW w:w="851" w:type="dxa"/>
          </w:tcPr>
          <w:p>
            <w:pPr>
              <w:rPr>
                <w:sz w:val="24"/>
                <w:szCs w:val="24"/>
              </w:rPr>
            </w:pPr>
            <w:r>
              <w:rPr>
                <w:rFonts w:hint="eastAsia"/>
                <w:sz w:val="24"/>
                <w:szCs w:val="24"/>
              </w:rPr>
              <w:t>5</w:t>
            </w:r>
          </w:p>
        </w:tc>
        <w:tc>
          <w:tcPr>
            <w:tcW w:w="6804" w:type="dxa"/>
          </w:tcPr>
          <w:p>
            <w:pPr>
              <w:rPr>
                <w:sz w:val="24"/>
                <w:szCs w:val="24"/>
              </w:rPr>
            </w:pPr>
            <w:r>
              <w:rPr>
                <w:rFonts w:ascii="宋体" w:hAnsi="宋体" w:cs="宋体"/>
                <w:kern w:val="0"/>
                <w:sz w:val="24"/>
                <w:szCs w:val="24"/>
              </w:rPr>
              <w:t>投标单位须提供住所地或业务发生地检察机关出具的行贿犯罪档案查询结果告知函</w:t>
            </w:r>
            <w:r>
              <w:rPr>
                <w:rFonts w:hint="eastAsia" w:ascii="宋体" w:hAnsi="宋体" w:cs="宋体"/>
                <w:kern w:val="0"/>
                <w:sz w:val="24"/>
                <w:szCs w:val="24"/>
              </w:rPr>
              <w:t>，</w:t>
            </w:r>
            <w:r>
              <w:rPr>
                <w:rFonts w:ascii="宋体" w:hAnsi="宋体" w:cs="宋体"/>
                <w:kern w:val="0"/>
                <w:sz w:val="24"/>
                <w:szCs w:val="24"/>
              </w:rPr>
              <w:t>查询结果表明投标人</w:t>
            </w:r>
            <w:r>
              <w:rPr>
                <w:rFonts w:hint="eastAsia" w:ascii="宋体" w:hAnsi="宋体" w:cs="宋体"/>
                <w:kern w:val="0"/>
                <w:sz w:val="24"/>
                <w:szCs w:val="24"/>
              </w:rPr>
              <w:t>无</w:t>
            </w:r>
            <w:r>
              <w:rPr>
                <w:rFonts w:ascii="宋体" w:hAnsi="宋体" w:cs="宋体"/>
                <w:kern w:val="0"/>
                <w:sz w:val="24"/>
                <w:szCs w:val="24"/>
              </w:rPr>
              <w:t>行贿犯罪记录的</w:t>
            </w:r>
            <w:r>
              <w:rPr>
                <w:rFonts w:hint="eastAsia" w:ascii="宋体" w:hAnsi="宋体" w:cs="宋体"/>
                <w:kern w:val="0"/>
                <w:sz w:val="24"/>
                <w:szCs w:val="24"/>
              </w:rPr>
              <w:t>得5分</w:t>
            </w:r>
            <w:r>
              <w:rPr>
                <w:rFonts w:ascii="宋体" w:hAnsi="宋体" w:cs="宋体"/>
                <w:kern w:val="0"/>
                <w:sz w:val="24"/>
                <w:szCs w:val="24"/>
              </w:rPr>
              <w:t>（告知函须在有效期内</w:t>
            </w:r>
            <w:r>
              <w:rPr>
                <w:rFonts w:hint="eastAsia" w:ascii="宋体" w:hAnsi="宋体" w:cs="宋体"/>
                <w:kern w:val="0"/>
                <w:sz w:val="24"/>
                <w:szCs w:val="24"/>
              </w:rPr>
              <w:t>）</w:t>
            </w:r>
            <w:r>
              <w:rPr>
                <w:rFonts w:hint="eastAsia"/>
                <w:sz w:val="24"/>
                <w:szCs w:val="24"/>
              </w:rPr>
              <w:t>未提供或有</w:t>
            </w:r>
            <w:r>
              <w:rPr>
                <w:rFonts w:ascii="宋体" w:hAnsi="宋体" w:cs="宋体"/>
                <w:kern w:val="0"/>
                <w:sz w:val="24"/>
                <w:szCs w:val="24"/>
              </w:rPr>
              <w:t>行贿犯罪记录</w:t>
            </w:r>
            <w:r>
              <w:rPr>
                <w:rFonts w:hint="eastAsia"/>
                <w:sz w:val="24"/>
                <w:szCs w:val="24"/>
              </w:rPr>
              <w:t>的不得分。</w:t>
            </w:r>
          </w:p>
        </w:tc>
      </w:tr>
    </w:tbl>
    <w:p/>
    <w:p>
      <w:pPr>
        <w:spacing w:line="500" w:lineRule="exact"/>
        <w:rPr>
          <w:rFonts w:ascii="黑体" w:hAnsi="黑体" w:eastAsia="黑体"/>
          <w:sz w:val="32"/>
          <w:szCs w:val="32"/>
        </w:rPr>
      </w:pPr>
      <w:r>
        <w:rPr>
          <w:rFonts w:hint="eastAsia" w:ascii="黑体" w:hAnsi="黑体" w:eastAsia="黑体"/>
          <w:sz w:val="32"/>
          <w:szCs w:val="32"/>
        </w:rPr>
        <w:t>二、价格评分PF（30分）</w:t>
      </w:r>
    </w:p>
    <w:p>
      <w:pPr>
        <w:widowControl/>
        <w:spacing w:before="100" w:beforeAutospacing="1" w:after="100" w:afterAutospacing="1" w:line="500" w:lineRule="exact"/>
        <w:ind w:firstLine="480"/>
        <w:jc w:val="left"/>
        <w:rPr>
          <w:sz w:val="32"/>
          <w:szCs w:val="32"/>
        </w:rPr>
      </w:pPr>
      <w:r>
        <w:rPr>
          <w:sz w:val="32"/>
          <w:szCs w:val="32"/>
        </w:rPr>
        <w:t>价格分采用</w:t>
      </w:r>
      <w:r>
        <w:rPr>
          <w:rFonts w:hint="eastAsia"/>
          <w:sz w:val="32"/>
          <w:szCs w:val="32"/>
        </w:rPr>
        <w:t>高</w:t>
      </w:r>
      <w:r>
        <w:rPr>
          <w:sz w:val="32"/>
          <w:szCs w:val="32"/>
        </w:rPr>
        <w:t>价优先法计算，即满足</w:t>
      </w:r>
      <w:r>
        <w:rPr>
          <w:rFonts w:hint="eastAsia"/>
          <w:sz w:val="32"/>
          <w:szCs w:val="32"/>
        </w:rPr>
        <w:t>甲方</w:t>
      </w:r>
      <w:r>
        <w:rPr>
          <w:sz w:val="32"/>
          <w:szCs w:val="32"/>
        </w:rPr>
        <w:t>要求且</w:t>
      </w:r>
      <w:r>
        <w:rPr>
          <w:rFonts w:hint="eastAsia"/>
          <w:sz w:val="32"/>
          <w:szCs w:val="32"/>
        </w:rPr>
        <w:t>承若支付甲方的</w:t>
      </w:r>
      <w:r>
        <w:rPr>
          <w:sz w:val="32"/>
          <w:szCs w:val="32"/>
        </w:rPr>
        <w:t>最</w:t>
      </w:r>
      <w:r>
        <w:rPr>
          <w:rFonts w:hint="eastAsia"/>
          <w:sz w:val="32"/>
          <w:szCs w:val="32"/>
        </w:rPr>
        <w:t>高</w:t>
      </w:r>
      <w:r>
        <w:rPr>
          <w:sz w:val="32"/>
          <w:szCs w:val="32"/>
        </w:rPr>
        <w:t>投标报价为评标基准价，其价格分为满分。其他投标人的价格分统一按照下列公式计算：投标报价得分=（投标报价／评标基准价）×</w:t>
      </w:r>
      <w:r>
        <w:rPr>
          <w:rFonts w:hint="eastAsia"/>
          <w:sz w:val="32"/>
          <w:szCs w:val="32"/>
        </w:rPr>
        <w:t>30</w:t>
      </w:r>
      <w:r>
        <w:rPr>
          <w:sz w:val="32"/>
          <w:szCs w:val="32"/>
        </w:rPr>
        <w:t>。</w:t>
      </w:r>
    </w:p>
    <w:p/>
    <w:sectPr>
      <w:pgSz w:w="11906" w:h="16838"/>
      <w:pgMar w:top="2155" w:right="1531"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97"/>
    <w:rsid w:val="000161D7"/>
    <w:rsid w:val="00066DAB"/>
    <w:rsid w:val="000C7E61"/>
    <w:rsid w:val="001B34E1"/>
    <w:rsid w:val="001F6CF0"/>
    <w:rsid w:val="00322783"/>
    <w:rsid w:val="003C4D32"/>
    <w:rsid w:val="00411619"/>
    <w:rsid w:val="00416A23"/>
    <w:rsid w:val="004456D9"/>
    <w:rsid w:val="00492BB3"/>
    <w:rsid w:val="004F5C8E"/>
    <w:rsid w:val="0050194A"/>
    <w:rsid w:val="0050403B"/>
    <w:rsid w:val="00516FE7"/>
    <w:rsid w:val="005809D0"/>
    <w:rsid w:val="005B2059"/>
    <w:rsid w:val="005B4EFD"/>
    <w:rsid w:val="00747AD3"/>
    <w:rsid w:val="00793D4C"/>
    <w:rsid w:val="007A579C"/>
    <w:rsid w:val="00866297"/>
    <w:rsid w:val="008676C5"/>
    <w:rsid w:val="008D0AA5"/>
    <w:rsid w:val="00944BC9"/>
    <w:rsid w:val="00A061D2"/>
    <w:rsid w:val="00A239F8"/>
    <w:rsid w:val="00AA2B55"/>
    <w:rsid w:val="00AB6FE7"/>
    <w:rsid w:val="00AF6FE1"/>
    <w:rsid w:val="00B1018F"/>
    <w:rsid w:val="00B50426"/>
    <w:rsid w:val="00BC4016"/>
    <w:rsid w:val="00D456D2"/>
    <w:rsid w:val="00D87036"/>
    <w:rsid w:val="00E41392"/>
    <w:rsid w:val="00E643BF"/>
    <w:rsid w:val="00E753A5"/>
    <w:rsid w:val="00F124B6"/>
    <w:rsid w:val="00F27972"/>
    <w:rsid w:val="00F44BAC"/>
    <w:rsid w:val="325C0A9D"/>
    <w:rsid w:val="42B54BED"/>
    <w:rsid w:val="4E3E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eastAsia="宋体"/>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纯文本 Char"/>
    <w:basedOn w:val="5"/>
    <w:link w:val="2"/>
    <w:qFormat/>
    <w:uiPriority w:val="0"/>
    <w:rPr>
      <w:rFonts w:ascii="宋体" w:hAnsi="Courier New" w:eastAsia="宋体"/>
    </w:rPr>
  </w:style>
  <w:style w:type="character" w:customStyle="1" w:styleId="11">
    <w:name w:val="纯文本 Char1"/>
    <w:basedOn w:val="5"/>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159</Words>
  <Characters>911</Characters>
  <Lines>7</Lines>
  <Paragraphs>2</Paragraphs>
  <TotalTime>18</TotalTime>
  <ScaleCrop>false</ScaleCrop>
  <LinksUpToDate>false</LinksUpToDate>
  <CharactersWithSpaces>1068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2018-11-09T01:10:00Z</dcterms:created>
  <dc:creator>PC</dc:creator>
  <cp:lastModifiedBy>深藏身与名</cp:lastModifiedBy>
  <cp:lastPrinted>2018-11-14T08:26:00Z</cp:lastPrinted>
  <dcterms:modified xsi:type="dcterms:W3CDTF">2018-11-16T07:14:48Z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