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CDBEC">
      <w:pPr>
        <w:spacing w:line="640" w:lineRule="exact"/>
        <w:jc w:val="center"/>
        <w:rPr>
          <w:rFonts w:hint="default" w:ascii="Times New Roman" w:hAnsi="Times New Roman" w:eastAsia="方正小标宋简体" w:cs="Times New Roma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年沙县区国民经济和社会发展统计公报</w:t>
      </w:r>
    </w:p>
    <w:p w14:paraId="13643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sz w:val="32"/>
          <w:szCs w:val="32"/>
        </w:rPr>
        <w:t>三明市沙县区统计局</w:t>
      </w:r>
    </w:p>
    <w:p w14:paraId="2B073D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Times New Roman" w:hAnsi="Times New Roman" w:eastAsia="楷体" w:cs="Times New Roman"/>
          <w:bCs/>
          <w:sz w:val="32"/>
          <w:szCs w:val="32"/>
        </w:rPr>
      </w:pPr>
      <w:r>
        <w:rPr>
          <w:rFonts w:hint="default" w:ascii="Times New Roman" w:hAnsi="Times New Roman" w:eastAsia="楷体" w:cs="Times New Roman"/>
          <w:bCs/>
          <w:sz w:val="32"/>
          <w:szCs w:val="32"/>
        </w:rPr>
        <w:t>202</w:t>
      </w:r>
      <w:r>
        <w:rPr>
          <w:rFonts w:hint="default" w:ascii="Times New Roman" w:hAnsi="Times New Roman" w:eastAsia="楷体" w:cs="Times New Roman"/>
          <w:bCs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楷体" w:cs="Times New Roman"/>
          <w:bCs/>
          <w:sz w:val="32"/>
          <w:szCs w:val="32"/>
        </w:rPr>
        <w:t>年</w:t>
      </w:r>
      <w:r>
        <w:rPr>
          <w:rFonts w:hint="default" w:ascii="Times New Roman" w:hAnsi="Times New Roman" w:eastAsia="楷体" w:cs="Times New Roman"/>
          <w:bCs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楷体" w:cs="Times New Roman"/>
          <w:bCs/>
          <w:sz w:val="32"/>
          <w:szCs w:val="32"/>
        </w:rPr>
        <w:t>月</w:t>
      </w:r>
      <w:r>
        <w:rPr>
          <w:rFonts w:hint="default" w:ascii="Times New Roman" w:hAnsi="Times New Roman" w:eastAsia="楷体" w:cs="Times New Roman"/>
          <w:bCs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楷体" w:cs="Times New Roman"/>
          <w:bCs/>
          <w:sz w:val="32"/>
          <w:szCs w:val="32"/>
        </w:rPr>
        <w:t>日</w:t>
      </w:r>
    </w:p>
    <w:p w14:paraId="62225C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FF000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是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“十四五”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规划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收官之年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沙县区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坚持以习近平新时代中国特色社会主义思想为指导，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全面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贯彻党的二十大和二十届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历次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全会精神，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以及习近平总书记在福建、三明、沙县考察时的重要讲话精神，持续深化拓展“三争”行动，扎实开展“四领一促”工作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" w:cs="Times New Roman"/>
          <w:color w:val="000000" w:themeColor="text1"/>
          <w:sz w:val="32"/>
          <w:szCs w:val="32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全力以赴推动各项政策落地见效，全区经济运行稳中向好，高质量发展迈出坚实步伐。</w:t>
      </w:r>
    </w:p>
    <w:p w14:paraId="7213C2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一、综合</w:t>
      </w:r>
    </w:p>
    <w:p w14:paraId="4C64B1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初步核算，全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年沙县区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实现地区生产总值294.89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endnoteReference w:id="0" w:customMarkFollows="1"/>
        <w:t>[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]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亿元，按可比价格计算，同比增长3.5%。其中，第一产业实现增加值37.38亿元，增长3.7%；第二产业实现增加值102.98亿元，下降2.0%；第三产业实现增加值154.52亿元，增长7.9%。三次产业结构调整为12.7:34.9:52.4。人均地区生产总值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120092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元，比上年增长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3.9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%。</w:t>
      </w:r>
    </w:p>
    <w:p w14:paraId="7DBCD39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年末常住人口24.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51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万人，比上年末减少0.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09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万人。其中，城镇常住人口18.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56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万人，占总人口比重（城镇化率）为7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5.72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%，比上年末提高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0.88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个百分点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endnoteReference w:id="1" w:customMarkFollows="1"/>
        <w:t>[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]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。年末户籍人口数为26.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58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万人，比上年末减少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1094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人。</w:t>
      </w:r>
    </w:p>
    <w:p w14:paraId="7325E2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FF0000"/>
          <w:sz w:val="32"/>
          <w:szCs w:val="32"/>
          <w:highlight w:val="none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全年城镇新增就业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835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人。有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35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名城镇失业人员实现了再就业。</w:t>
      </w:r>
    </w:p>
    <w:p w14:paraId="4FE678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highlight w:val="lightGray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全年一般公共预算总收入</w:t>
      </w:r>
      <w:r>
        <w:rPr>
          <w:rFonts w:hint="default" w:ascii="Times New Roman" w:hAnsi="Times New Roman" w:eastAsia="仿宋" w:cs="Times New Roman"/>
          <w:color w:val="000000"/>
          <w:sz w:val="30"/>
          <w:szCs w:val="30"/>
          <w:highlight w:val="none"/>
          <w:shd w:val="clear" w:color="auto" w:fill="auto"/>
          <w:lang w:val="en-US" w:eastAsia="zh-CN"/>
        </w:rPr>
        <w:t>15.60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亿元，比上年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增长5.0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%，其中地方一般公共预算收入11.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72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亿元，增长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5.0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%，税收收入5.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77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亿元，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增长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0.4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%。一般公共预算支出</w:t>
      </w:r>
      <w:r>
        <w:rPr>
          <w:rFonts w:hint="default" w:ascii="Times New Roman" w:hAnsi="Times New Roman" w:eastAsia="仿宋" w:cs="Times New Roman"/>
          <w:color w:val="000000"/>
          <w:sz w:val="30"/>
          <w:szCs w:val="30"/>
          <w:highlight w:val="none"/>
          <w:shd w:val="clear" w:color="auto" w:fill="auto"/>
          <w:lang w:val="en-US" w:eastAsia="zh-CN"/>
        </w:rPr>
        <w:t>33.35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亿元，比上年增长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9.9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%。</w:t>
      </w:r>
    </w:p>
    <w:p w14:paraId="31E22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Lines="50" w:line="560" w:lineRule="exact"/>
        <w:jc w:val="center"/>
        <w:textAlignment w:val="auto"/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图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 xml:space="preserve">  20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年地方一般公共预算收入及其增长速度</w:t>
      </w:r>
    </w:p>
    <w:p w14:paraId="08F1F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黑体简体" w:cs="Times New Roman"/>
          <w:sz w:val="36"/>
          <w:szCs w:val="36"/>
          <w:shd w:val="clear" w:color="FFFFFF" w:fill="D9D9D9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00650" cy="3000375"/>
            <wp:effectExtent l="0" t="0" r="0" b="9525"/>
            <wp:docPr id="2" name="图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24F53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</w:p>
    <w:p w14:paraId="5F145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二、农业</w:t>
      </w:r>
    </w:p>
    <w:p w14:paraId="65961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全年农林牧渔业完成总产值61.67亿元，比上年增长3.7%。2024年末全区耕地面积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169886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亩，比2023年末增加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765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亩。全年粮食播种面积176775亩，比上年增加2亩，其中稻谷播种面积146671亩，增加1261亩；烟叶种植面积24533亩，增加265亩；油料种植面积5986亩，增加56亩；蔬菜种植面积107691亩，增加2975亩。</w:t>
      </w:r>
    </w:p>
    <w:p w14:paraId="2CD74A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全年粮食总产量76422吨，比上年增加727吨，增长1.0%，其中稻谷产量65308吨，增加1650吨，增长2.6%。</w:t>
      </w:r>
    </w:p>
    <w:p w14:paraId="06566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全年肉蛋总产量50057.92吨，比上年增长5.5%。肉类总产量33833.36吨，增长2.2%，其中猪肉27614.36吨，增长5.6%，禽肉5615.89吨，增长-9.4%；禽蛋产量16224.56吨，增长12.9%。</w:t>
      </w:r>
    </w:p>
    <w:p w14:paraId="779057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全年水产品产量9389吨，增长3.8%。</w:t>
      </w:r>
    </w:p>
    <w:p w14:paraId="62514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beforeLines="50" w:line="560" w:lineRule="exact"/>
        <w:jc w:val="center"/>
        <w:textAlignment w:val="auto"/>
        <w:rPr>
          <w:rFonts w:hint="default" w:ascii="Times New Roman" w:hAnsi="Times New Roman" w:eastAsia="仿宋" w:cs="Times New Roman"/>
          <w:b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b/>
          <w:sz w:val="32"/>
          <w:szCs w:val="32"/>
          <w:shd w:val="clear" w:color="auto" w:fill="auto"/>
        </w:rPr>
        <w:t>表1  202</w:t>
      </w:r>
      <w:r>
        <w:rPr>
          <w:rFonts w:hint="default" w:ascii="Times New Roman" w:hAnsi="Times New Roman" w:eastAsia="仿宋" w:cs="Times New Roman"/>
          <w:b/>
          <w:sz w:val="32"/>
          <w:szCs w:val="32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/>
          <w:sz w:val="32"/>
          <w:szCs w:val="32"/>
          <w:shd w:val="clear" w:color="auto" w:fill="auto"/>
        </w:rPr>
        <w:t>年主要农产品产量</w:t>
      </w:r>
    </w:p>
    <w:tbl>
      <w:tblPr>
        <w:tblStyle w:val="8"/>
        <w:tblW w:w="45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78"/>
        <w:gridCol w:w="2424"/>
        <w:gridCol w:w="2250"/>
      </w:tblGrid>
      <w:tr w14:paraId="68EE4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single" w:color="auto" w:sz="18" w:space="0"/>
              <w:bottom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7B749FC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产品名称</w:t>
            </w:r>
          </w:p>
        </w:tc>
        <w:tc>
          <w:tcPr>
            <w:tcW w:w="1505" w:type="pc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5639C2C7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产量（吨）</w:t>
            </w:r>
          </w:p>
        </w:tc>
        <w:tc>
          <w:tcPr>
            <w:tcW w:w="1397" w:type="pct"/>
            <w:tcBorders>
              <w:top w:val="single" w:color="auto" w:sz="18" w:space="0"/>
              <w:left w:val="single" w:color="auto" w:sz="6" w:space="0"/>
              <w:bottom w:val="single" w:color="auto" w:sz="6" w:space="0"/>
            </w:tcBorders>
            <w:shd w:val="clear" w:color="000000" w:fill="FFFFFF"/>
            <w:noWrap/>
            <w:vAlign w:val="center"/>
          </w:tcPr>
          <w:p w14:paraId="64DED9C1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增长（%）</w:t>
            </w:r>
          </w:p>
        </w:tc>
      </w:tr>
      <w:tr w14:paraId="3ACF3A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A866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粮食</w:t>
            </w:r>
          </w:p>
        </w:tc>
        <w:tc>
          <w:tcPr>
            <w:tcW w:w="1505" w:type="pc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75A08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FFFFFF" w:fill="D9D9D9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76422</w:t>
            </w:r>
          </w:p>
        </w:tc>
        <w:tc>
          <w:tcPr>
            <w:tcW w:w="1397" w:type="pct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AD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FFFFFF" w:fill="D9D9D9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1.0 </w:t>
            </w:r>
          </w:p>
        </w:tc>
      </w:tr>
      <w:tr w14:paraId="09F2A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795A9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    谷物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5547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69166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941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2.5 </w:t>
            </w:r>
          </w:p>
        </w:tc>
      </w:tr>
      <w:tr w14:paraId="2741E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453E0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    薯类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EB36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6664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522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-10.2 </w:t>
            </w:r>
          </w:p>
        </w:tc>
      </w:tr>
      <w:tr w14:paraId="46A39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A4AA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    豆类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CFED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592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B1C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-26.5 </w:t>
            </w:r>
          </w:p>
        </w:tc>
      </w:tr>
      <w:tr w14:paraId="52F0F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AB29F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油料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73C2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1495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539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2.3 </w:t>
            </w:r>
          </w:p>
        </w:tc>
      </w:tr>
      <w:tr w14:paraId="61F42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6F0B6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其中：花生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0A32F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1473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BC7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2.2 </w:t>
            </w:r>
          </w:p>
        </w:tc>
      </w:tr>
      <w:tr w14:paraId="7B9664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F596F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    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油菜籽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95A2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22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D2BE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4.8 </w:t>
            </w:r>
          </w:p>
        </w:tc>
      </w:tr>
      <w:tr w14:paraId="524D8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C568A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甘蔗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6FA6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1933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BDAC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4.8 </w:t>
            </w:r>
          </w:p>
        </w:tc>
      </w:tr>
      <w:tr w14:paraId="06707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071D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烤烟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CBCE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3117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4BD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1.7 </w:t>
            </w:r>
          </w:p>
        </w:tc>
      </w:tr>
      <w:tr w14:paraId="73416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5B187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茶叶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373B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5540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0144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4.1 </w:t>
            </w:r>
          </w:p>
        </w:tc>
      </w:tr>
      <w:tr w14:paraId="511BF5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8CBC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水果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32BA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150754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500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4.1 </w:t>
            </w:r>
          </w:p>
        </w:tc>
      </w:tr>
      <w:tr w14:paraId="66966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6DBF9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蔬菜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E02B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200075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BE84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4.1 </w:t>
            </w:r>
          </w:p>
        </w:tc>
      </w:tr>
      <w:tr w14:paraId="044BD0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2097" w:type="pct"/>
            <w:tcBorders>
              <w:top w:val="nil"/>
              <w:bottom w:val="single" w:color="auto" w:sz="18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561E5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420" w:leftChars="200"/>
              <w:jc w:val="left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食用菌（干品）</w:t>
            </w:r>
          </w:p>
        </w:tc>
        <w:tc>
          <w:tcPr>
            <w:tcW w:w="1505" w:type="pct"/>
            <w:tcBorders>
              <w:top w:val="nil"/>
              <w:left w:val="single" w:color="auto" w:sz="6" w:space="0"/>
              <w:bottom w:val="single" w:color="auto" w:sz="18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B196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420" w:rightChars="200"/>
              <w:jc w:val="right"/>
              <w:textAlignment w:val="bottom"/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11033</w:t>
            </w:r>
          </w:p>
        </w:tc>
        <w:tc>
          <w:tcPr>
            <w:tcW w:w="1397" w:type="pct"/>
            <w:tcBorders>
              <w:top w:val="nil"/>
              <w:left w:val="single" w:color="auto" w:sz="6" w:space="0"/>
              <w:bottom w:val="single" w:color="auto" w:sz="18" w:space="0"/>
              <w:right w:val="nil"/>
            </w:tcBorders>
            <w:shd w:val="clear" w:color="000000" w:fill="FFFFFF"/>
            <w:noWrap/>
            <w:vAlign w:val="center"/>
          </w:tcPr>
          <w:p w14:paraId="526F5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420" w:rightChars="200"/>
              <w:jc w:val="right"/>
              <w:textAlignment w:val="center"/>
              <w:rPr>
                <w:rFonts w:hint="default" w:ascii="Times New Roman" w:hAnsi="Times New Roman" w:eastAsia="仿宋" w:cs="Times New Roman"/>
                <w:sz w:val="32"/>
                <w:szCs w:val="3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4.5 </w:t>
            </w:r>
          </w:p>
        </w:tc>
      </w:tr>
    </w:tbl>
    <w:p w14:paraId="6F2D70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78" w:beforeLines="1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三、工业和建筑业</w:t>
      </w:r>
    </w:p>
    <w:p w14:paraId="2353043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全年全部工业增加值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68.02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增长5.3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%。规模以上工业增加值增长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8.1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%。全年工业用电量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119961万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千瓦时，增长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2.3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%，规模以上工业用电量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89513万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千瓦时，增长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1.9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4ACEC8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</w:p>
    <w:p w14:paraId="129E0ED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color w:val="FF000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图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20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规模以上工业增加值增长速度</w:t>
      </w:r>
    </w:p>
    <w:p w14:paraId="43830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60" w:lineRule="exact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451485</wp:posOffset>
            </wp:positionH>
            <wp:positionV relativeFrom="paragraph">
              <wp:posOffset>17780</wp:posOffset>
            </wp:positionV>
            <wp:extent cx="4850765" cy="2750185"/>
            <wp:effectExtent l="0" t="0" r="6985" b="12065"/>
            <wp:wrapTopAndBottom/>
            <wp:docPr id="8" name="图表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shd w:val="clear" w:color="auto" w:fill="auto"/>
        </w:rPr>
        <w:t>表2  202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shd w:val="clear" w:color="auto" w:fill="auto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b/>
          <w:bCs/>
          <w:sz w:val="32"/>
          <w:szCs w:val="32"/>
          <w:shd w:val="clear" w:color="auto" w:fill="auto"/>
        </w:rPr>
        <w:t>年规模以上工业主要产品产量</w:t>
      </w:r>
    </w:p>
    <w:tbl>
      <w:tblPr>
        <w:tblStyle w:val="8"/>
        <w:tblW w:w="442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8"/>
        <w:gridCol w:w="1532"/>
        <w:gridCol w:w="1930"/>
        <w:gridCol w:w="1764"/>
      </w:tblGrid>
      <w:tr w14:paraId="6F5B4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single" w:color="auto" w:sz="18" w:space="0"/>
              <w:bottom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235CBE8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产品名称</w:t>
            </w:r>
          </w:p>
        </w:tc>
        <w:tc>
          <w:tcPr>
            <w:tcW w:w="967" w:type="pct"/>
            <w:tcBorders>
              <w:top w:val="single" w:color="auto" w:sz="18" w:space="0"/>
              <w:bottom w:val="single" w:color="auto" w:sz="6" w:space="0"/>
              <w:right w:val="single" w:color="auto" w:sz="6" w:space="0"/>
            </w:tcBorders>
            <w:shd w:val="clear" w:color="000000" w:fill="FFFFFF"/>
            <w:vAlign w:val="center"/>
          </w:tcPr>
          <w:p w14:paraId="545F7385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计量单位</w:t>
            </w:r>
          </w:p>
        </w:tc>
        <w:tc>
          <w:tcPr>
            <w:tcW w:w="1219" w:type="pc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0DAB3FD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产量（吨）</w:t>
            </w:r>
          </w:p>
        </w:tc>
        <w:tc>
          <w:tcPr>
            <w:tcW w:w="1114" w:type="pct"/>
            <w:tcBorders>
              <w:top w:val="single" w:color="auto" w:sz="18" w:space="0"/>
              <w:left w:val="single" w:color="auto" w:sz="6" w:space="0"/>
              <w:bottom w:val="single" w:color="auto" w:sz="6" w:space="0"/>
            </w:tcBorders>
            <w:shd w:val="clear" w:color="000000" w:fill="FFFFFF"/>
            <w:noWrap/>
            <w:vAlign w:val="center"/>
          </w:tcPr>
          <w:p w14:paraId="6A145A63">
            <w:pPr>
              <w:widowControl/>
              <w:spacing w:line="44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>增长（%）</w:t>
            </w:r>
          </w:p>
        </w:tc>
      </w:tr>
      <w:tr w14:paraId="0F17E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E7E4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饲料</w:t>
            </w:r>
          </w:p>
        </w:tc>
        <w:tc>
          <w:tcPr>
            <w:tcW w:w="967" w:type="pct"/>
            <w:tcBorders>
              <w:top w:val="single" w:color="auto" w:sz="6" w:space="0"/>
              <w:right w:val="single" w:color="auto" w:sz="6" w:space="0"/>
            </w:tcBorders>
            <w:shd w:val="clear" w:color="000000" w:fill="FFFFFF"/>
            <w:vAlign w:val="center"/>
          </w:tcPr>
          <w:p w14:paraId="7EE0E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48BD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26780 </w:t>
            </w:r>
          </w:p>
        </w:tc>
        <w:tc>
          <w:tcPr>
            <w:tcW w:w="1831" w:type="dxa"/>
            <w:tcBorders>
              <w:top w:val="single" w:color="auto" w:sz="6" w:space="0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920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0.5 </w:t>
            </w:r>
          </w:p>
        </w:tc>
      </w:tr>
      <w:tr w14:paraId="3E303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FF97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速冻食品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596AE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B8C8D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325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59D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-33.7 </w:t>
            </w:r>
          </w:p>
        </w:tc>
      </w:tr>
      <w:tr w14:paraId="61742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2C96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精制茶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315BB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0DDAB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435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415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26.5 </w:t>
            </w:r>
          </w:p>
        </w:tc>
      </w:tr>
      <w:tr w14:paraId="74D46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12AB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纱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5927C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D368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14307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0941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482.8 </w:t>
            </w:r>
          </w:p>
        </w:tc>
      </w:tr>
      <w:tr w14:paraId="292CC9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9FA6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机制纸及纸板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07767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3FBBB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58493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3A5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3.4 </w:t>
            </w:r>
          </w:p>
        </w:tc>
      </w:tr>
      <w:tr w14:paraId="22EA13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429E5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活性炭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2B5DA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3497D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23114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0BC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1.0 </w:t>
            </w:r>
          </w:p>
        </w:tc>
      </w:tr>
      <w:tr w14:paraId="18EA00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BC69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涂料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660C24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FE8D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8492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42C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7.6 </w:t>
            </w:r>
          </w:p>
        </w:tc>
      </w:tr>
      <w:tr w14:paraId="3025F9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2B34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43102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3608F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22424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1FA6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-2.9 </w:t>
            </w:r>
          </w:p>
        </w:tc>
      </w:tr>
      <w:tr w14:paraId="56211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38651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化学试剂</w:t>
            </w:r>
          </w:p>
        </w:tc>
        <w:tc>
          <w:tcPr>
            <w:tcW w:w="967" w:type="pct"/>
            <w:tcBorders>
              <w:top w:val="nil"/>
              <w:right w:val="single" w:color="auto" w:sz="6" w:space="0"/>
            </w:tcBorders>
            <w:shd w:val="clear" w:color="000000" w:fill="FFFFFF"/>
            <w:vAlign w:val="center"/>
          </w:tcPr>
          <w:p w14:paraId="00D62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592C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8393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523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24.1 </w:t>
            </w:r>
          </w:p>
        </w:tc>
      </w:tr>
      <w:tr w14:paraId="60A7FC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0A3B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铸钢件</w:t>
            </w:r>
          </w:p>
        </w:tc>
        <w:tc>
          <w:tcPr>
            <w:tcW w:w="967" w:type="pct"/>
            <w:tcBorders>
              <w:top w:val="nil"/>
              <w:bottom w:val="nil"/>
              <w:right w:val="single" w:color="auto" w:sz="6" w:space="0"/>
            </w:tcBorders>
            <w:shd w:val="clear" w:color="000000" w:fill="FFFFFF"/>
            <w:vAlign w:val="center"/>
          </w:tcPr>
          <w:p w14:paraId="6E81C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4B9BD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7649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947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11.3 </w:t>
            </w:r>
          </w:p>
        </w:tc>
      </w:tr>
      <w:tr w14:paraId="3CE339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A3E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钢丝</w:t>
            </w:r>
          </w:p>
        </w:tc>
        <w:tc>
          <w:tcPr>
            <w:tcW w:w="967" w:type="pc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 w14:paraId="2B64A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吨</w:t>
            </w:r>
          </w:p>
        </w:tc>
        <w:tc>
          <w:tcPr>
            <w:tcW w:w="2003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D28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40404 </w:t>
            </w:r>
          </w:p>
        </w:tc>
        <w:tc>
          <w:tcPr>
            <w:tcW w:w="1831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7B6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85.5 </w:t>
            </w:r>
          </w:p>
        </w:tc>
      </w:tr>
      <w:tr w14:paraId="31F6C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698" w:type="pct"/>
            <w:tcBorders>
              <w:top w:val="nil"/>
              <w:bottom w:val="single" w:color="auto" w:sz="18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289F5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highlight w:val="none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人造板</w:t>
            </w:r>
          </w:p>
        </w:tc>
        <w:tc>
          <w:tcPr>
            <w:tcW w:w="967" w:type="pct"/>
            <w:tcBorders>
              <w:top w:val="nil"/>
              <w:bottom w:val="single" w:color="auto" w:sz="18" w:space="0"/>
              <w:right w:val="single" w:color="auto" w:sz="6" w:space="0"/>
            </w:tcBorders>
            <w:shd w:val="clear" w:color="000000" w:fill="FFFFFF"/>
            <w:vAlign w:val="center"/>
          </w:tcPr>
          <w:p w14:paraId="54D34A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立方米</w:t>
            </w:r>
          </w:p>
        </w:tc>
        <w:tc>
          <w:tcPr>
            <w:tcW w:w="2003" w:type="dxa"/>
            <w:tcBorders>
              <w:top w:val="nil"/>
              <w:left w:val="single" w:color="auto" w:sz="6" w:space="0"/>
              <w:bottom w:val="single" w:color="auto" w:sz="18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540A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126840 </w:t>
            </w:r>
          </w:p>
        </w:tc>
        <w:tc>
          <w:tcPr>
            <w:tcW w:w="1831" w:type="dxa"/>
            <w:tcBorders>
              <w:top w:val="nil"/>
              <w:left w:val="single" w:color="auto" w:sz="6" w:space="0"/>
              <w:bottom w:val="single" w:color="auto" w:sz="18" w:space="0"/>
              <w:right w:val="nil"/>
            </w:tcBorders>
            <w:shd w:val="clear" w:color="000000" w:fill="FFFFFF"/>
            <w:noWrap/>
            <w:vAlign w:val="center"/>
          </w:tcPr>
          <w:p w14:paraId="32710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-1.7 </w:t>
            </w:r>
          </w:p>
        </w:tc>
      </w:tr>
    </w:tbl>
    <w:p w14:paraId="350B68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50"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全年规模以上工业每百元资产实现的营业收入比上年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增加11.8元；每百元营业收入中的成本和费用分别为90.84元、6.77元，分别比上年增加0.56元、减少0.48元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。全年规模以上工业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总资产周转天数为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176.5天，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比上年减少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10.8天；成本费用利润率为2.78%，比上年下降0.6个百分点，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营业收入利润率为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2.72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比上年下降0.58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个百分点。年末规模以上工业资产负债率为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49.6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%，比上年末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下降0.7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个百分点。</w:t>
      </w:r>
    </w:p>
    <w:p w14:paraId="70B99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全年建筑业增加值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35.82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下降14.7%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。具有资质等级的总承包和专业承包建筑业企业完成建筑业总产值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113.48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比上年下降15.9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5ECB0B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四、固定资产投资</w:t>
      </w:r>
    </w:p>
    <w:p w14:paraId="0C2FF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全年固定资产投资比上年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下降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14.4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%，其中项目投资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下降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14.9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%，房地产开发投资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下降13.6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。全年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商品房销售面积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19.50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万平方米，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比上年增长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8.0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年末商品房待售面积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39.41万平方米，比上年末下降31.3%。</w:t>
      </w:r>
    </w:p>
    <w:p w14:paraId="42E7466A">
      <w:pPr>
        <w:spacing w:beforeLines="50" w:line="540" w:lineRule="exact"/>
        <w:jc w:val="center"/>
        <w:rPr>
          <w:rFonts w:hint="default" w:ascii="Times New Roman" w:hAnsi="Times New Roman" w:eastAsia="仿宋" w:cs="Times New Roman"/>
          <w:b/>
          <w:bCs/>
          <w:color w:val="000000" w:themeColor="text1"/>
          <w:sz w:val="28"/>
          <w:szCs w:val="28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图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 xml:space="preserve">  20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年固定资产投资增长速度</w:t>
      </w:r>
    </w:p>
    <w:p w14:paraId="4912FD9D">
      <w:pPr>
        <w:jc w:val="center"/>
        <w:rPr>
          <w:rFonts w:hint="default" w:ascii="Times New Roman" w:hAnsi="Times New Roman" w:eastAsia="方正仿宋简体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572000" cy="2743200"/>
            <wp:effectExtent l="0" t="0" r="0" b="0"/>
            <wp:docPr id="7" name="图表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055588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全年省市重点建设项目37个，计划总投资157.66亿元，年度计划投资56.62亿元，超序时完成年度投资计划，新开工项目12个，建成投产项目13个，其中省重点建设项目15个，新开工项目7个，建成投产项目3个。沙县青山纸业年产20万吨竹浆技改、三明医学科技职业学院生态新城校区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  <w:lang w:val="en-US" w:eastAsia="zh-CN"/>
        </w:rPr>
        <w:t>（一期）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、三明市第一医院生态新城分院二期、智慧冷链物流园等一批项目开工建设。中国移动（三明）沙县数据中心、华东师范大学附属三明中学、工业母机精密装备生产线升级改造、富口30MW渔光互补光伏发电等一批项目建成投产。</w:t>
      </w:r>
    </w:p>
    <w:p w14:paraId="6278E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五、国内贸易</w:t>
      </w:r>
    </w:p>
    <w:p w14:paraId="7A22B2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全年社会消费品零售总额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112.96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亿元，比上年增长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6.2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%。全年零售业销售额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99.52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10.8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%。批发业销售额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85.43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14.7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%。住宿业营业额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1.75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11.2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%。餐饮业营业额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21.37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15.1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70F94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line="560" w:lineRule="exact"/>
        <w:jc w:val="center"/>
        <w:textAlignment w:val="auto"/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图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 xml:space="preserve">  20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年社会消费品零售总额及其增长速度</w:t>
      </w:r>
    </w:p>
    <w:p w14:paraId="37CA9ACD">
      <w:pPr>
        <w:snapToGrid w:val="0"/>
        <w:jc w:val="center"/>
        <w:rPr>
          <w:rFonts w:hint="default" w:ascii="Times New Roman" w:hAnsi="Times New Roman" w:eastAsia="方正仿宋简体" w:cs="Times New Roman"/>
          <w:color w:val="FF000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95925" cy="3072130"/>
            <wp:effectExtent l="0" t="0" r="9525" b="13970"/>
            <wp:docPr id="6" name="图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1C19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50"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在限额以上商品零售额中，粮油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、食品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类零售额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下降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9.5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，饮料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类增长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16.2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五金、电科类增长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11.1%，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文化办公用品类下降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4.2%，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汽车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类增长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3.7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143EE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六、对外经济</w:t>
      </w:r>
    </w:p>
    <w:p w14:paraId="638F8D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全年进出口总额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2.13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亿美元，比上年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减少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20.5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%。其中，出口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1.85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亿美元，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减少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23.1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%；进口0.2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亿美元，增长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2.3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%。进出口顺差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出口减进口</w:t>
      </w: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1.57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亿美元。</w:t>
      </w:r>
    </w:p>
    <w:p w14:paraId="14788B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全年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批准设立外商直接投资项目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家，批准合同外资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1801.75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万元，实际利用外商直接投资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280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万元。</w:t>
      </w:r>
    </w:p>
    <w:p w14:paraId="1A6DA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七、交通</w:t>
      </w:r>
    </w:p>
    <w:p w14:paraId="323CAE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FF000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全年交通运输、仓储和邮政业实现增加值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7.72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亿元，比上年增长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4.8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全区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公路累计通车里程达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1116.92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公里，当年新增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19.79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公里，其中高速公路通车里程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122.68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公里。共有171个行政村开通客运班车，占全部建制村的100%，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全年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农路公路改造、硬化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24.24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公里，硬化路面通村率100%。全年公路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旅客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周转量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21388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万人公里，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下降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12.9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%；公路货运周转量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82455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万吨公里，增长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.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284C20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9" w:beforeLines="10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八、金融</w:t>
      </w:r>
    </w:p>
    <w:p w14:paraId="47E02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年末金融机构本外币各项存款余额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auto"/>
          <w:lang w:val="en-US" w:eastAsia="zh-CN"/>
        </w:rPr>
        <w:t>303.03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亿元，比上年末增长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auto"/>
          <w:lang w:val="en-US" w:eastAsia="zh-CN"/>
        </w:rPr>
        <w:t>8.6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%；金融机构本外币各项贷款余额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shd w:val="clear" w:color="auto" w:fill="auto"/>
          <w:lang w:val="en-US" w:eastAsia="zh-CN"/>
        </w:rPr>
        <w:t>327.80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亿元，比上年末增长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9.9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3AF0C5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</w:p>
    <w:p w14:paraId="0EF174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</w:p>
    <w:p w14:paraId="0A623F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60" w:lineRule="exact"/>
        <w:jc w:val="center"/>
        <w:textAlignment w:val="auto"/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表3  202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年全部金融机构本外币存贷款情况</w:t>
      </w:r>
    </w:p>
    <w:tbl>
      <w:tblPr>
        <w:tblStyle w:val="8"/>
        <w:tblW w:w="4855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0"/>
        <w:gridCol w:w="2134"/>
        <w:gridCol w:w="2334"/>
      </w:tblGrid>
      <w:tr w14:paraId="3FA0E6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2428" w:type="pct"/>
            <w:tcBorders>
              <w:top w:val="single" w:color="auto" w:sz="18" w:space="0"/>
              <w:bottom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47619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0"/>
                <w:szCs w:val="30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0"/>
                <w:szCs w:val="30"/>
                <w:shd w:val="clear" w:color="auto" w:fill="auto"/>
              </w:rPr>
              <w:t>指   标</w:t>
            </w:r>
          </w:p>
        </w:tc>
        <w:tc>
          <w:tcPr>
            <w:tcW w:w="1228" w:type="pct"/>
            <w:tcBorders>
              <w:top w:val="single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3AA3D9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8"/>
                <w:szCs w:val="28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96"/>
                <w:kern w:val="0"/>
                <w:sz w:val="28"/>
                <w:szCs w:val="28"/>
                <w:shd w:val="clear" w:color="auto" w:fill="auto"/>
                <w:fitText w:val="1820" w:id="-1279590399"/>
              </w:rPr>
              <w:t>年末数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96"/>
                <w:kern w:val="0"/>
                <w:sz w:val="24"/>
                <w:szCs w:val="24"/>
                <w:shd w:val="clear" w:color="auto" w:fill="auto"/>
                <w:fitText w:val="1820" w:id="-1279590399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96"/>
                <w:kern w:val="0"/>
                <w:sz w:val="28"/>
                <w:szCs w:val="28"/>
                <w:shd w:val="clear" w:color="auto" w:fill="auto"/>
                <w:fitText w:val="1820" w:id="-1279590399"/>
              </w:rPr>
              <w:t>亿元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6"/>
                <w:w w:val="96"/>
                <w:kern w:val="0"/>
                <w:sz w:val="24"/>
                <w:szCs w:val="24"/>
                <w:shd w:val="clear" w:color="auto" w:fill="auto"/>
                <w:fitText w:val="1820" w:id="-1279590399"/>
              </w:rPr>
              <w:t>）</w:t>
            </w:r>
          </w:p>
        </w:tc>
        <w:tc>
          <w:tcPr>
            <w:tcW w:w="1343" w:type="pct"/>
            <w:tcBorders>
              <w:top w:val="single" w:color="auto" w:sz="18" w:space="0"/>
              <w:left w:val="single" w:color="auto" w:sz="6" w:space="0"/>
              <w:bottom w:val="single" w:color="auto" w:sz="6" w:space="0"/>
            </w:tcBorders>
            <w:shd w:val="clear" w:color="000000" w:fill="FFFFFF"/>
            <w:noWrap/>
            <w:vAlign w:val="center"/>
          </w:tcPr>
          <w:p w14:paraId="289D3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88"/>
                <w:kern w:val="0"/>
                <w:sz w:val="28"/>
                <w:szCs w:val="28"/>
                <w:shd w:val="clear" w:color="auto" w:fill="auto"/>
                <w:fitText w:val="2100" w:id="-1279590400"/>
              </w:rPr>
              <w:t>比上年末增长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88"/>
                <w:kern w:val="0"/>
                <w:sz w:val="24"/>
                <w:szCs w:val="24"/>
                <w:shd w:val="clear" w:color="auto" w:fill="auto"/>
                <w:fitText w:val="2100" w:id="-1279590400"/>
              </w:rPr>
              <w:t>（%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8"/>
                <w:w w:val="88"/>
                <w:kern w:val="0"/>
                <w:sz w:val="24"/>
                <w:szCs w:val="24"/>
                <w:shd w:val="clear" w:color="auto" w:fill="auto"/>
                <w:fitText w:val="2100" w:id="-1279590400"/>
              </w:rPr>
              <w:t>）</w:t>
            </w:r>
          </w:p>
        </w:tc>
      </w:tr>
      <w:tr w14:paraId="27D76C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428" w:type="pct"/>
            <w:tcBorders>
              <w:top w:val="single" w:color="auto" w:sz="6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39DBE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32"/>
                <w:szCs w:val="32"/>
                <w:shd w:val="clear" w:color="auto" w:fill="auto"/>
              </w:rPr>
              <w:t>各项存款余额</w:t>
            </w:r>
          </w:p>
        </w:tc>
        <w:tc>
          <w:tcPr>
            <w:tcW w:w="1228" w:type="pc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F1701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303.03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</w:t>
            </w:r>
          </w:p>
        </w:tc>
        <w:tc>
          <w:tcPr>
            <w:tcW w:w="1343" w:type="pct"/>
            <w:tcBorders>
              <w:top w:val="single" w:color="auto" w:sz="6" w:space="0"/>
              <w:left w:val="single" w:color="auto" w:sz="6" w:space="0"/>
            </w:tcBorders>
            <w:shd w:val="clear" w:color="000000" w:fill="FFFFFF"/>
            <w:noWrap/>
            <w:vAlign w:val="center"/>
          </w:tcPr>
          <w:p w14:paraId="667F8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8.6</w:t>
            </w:r>
          </w:p>
        </w:tc>
      </w:tr>
      <w:tr w14:paraId="2C6F9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42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460029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35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73"/>
                <w:kern w:val="0"/>
                <w:sz w:val="32"/>
                <w:szCs w:val="32"/>
                <w:shd w:val="clear" w:color="auto" w:fill="auto"/>
                <w:fitText w:val="1644" w:id="-1279543552"/>
              </w:rPr>
              <w:t>其中：住户存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2"/>
                <w:w w:val="73"/>
                <w:kern w:val="0"/>
                <w:sz w:val="32"/>
                <w:szCs w:val="32"/>
                <w:shd w:val="clear" w:color="auto" w:fill="auto"/>
                <w:fitText w:val="1644" w:id="-1279543552"/>
              </w:rPr>
              <w:t>款</w:t>
            </w:r>
          </w:p>
        </w:tc>
        <w:tc>
          <w:tcPr>
            <w:tcW w:w="1228" w:type="pc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FD67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238.16</w:t>
            </w:r>
          </w:p>
        </w:tc>
        <w:tc>
          <w:tcPr>
            <w:tcW w:w="1343" w:type="pct"/>
            <w:tcBorders>
              <w:top w:val="nil"/>
              <w:left w:val="single" w:color="auto" w:sz="6" w:space="0"/>
            </w:tcBorders>
            <w:shd w:val="clear" w:color="000000" w:fill="FFFFFF"/>
            <w:noWrap/>
            <w:vAlign w:val="center"/>
          </w:tcPr>
          <w:p w14:paraId="1ECEAD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11.0</w:t>
            </w:r>
          </w:p>
        </w:tc>
      </w:tr>
      <w:tr w14:paraId="52CDD1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42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4EA3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87"/>
                <w:kern w:val="0"/>
                <w:sz w:val="32"/>
                <w:szCs w:val="32"/>
                <w:shd w:val="clear" w:color="auto" w:fill="auto"/>
                <w:fitText w:val="1950" w:id="-1279590144"/>
              </w:rPr>
              <w:t>非金融企业存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-1"/>
                <w:w w:val="87"/>
                <w:kern w:val="0"/>
                <w:sz w:val="32"/>
                <w:szCs w:val="32"/>
                <w:shd w:val="clear" w:color="auto" w:fill="auto"/>
                <w:fitText w:val="1950" w:id="-1279590144"/>
              </w:rPr>
              <w:t>款</w:t>
            </w:r>
          </w:p>
        </w:tc>
        <w:tc>
          <w:tcPr>
            <w:tcW w:w="1228" w:type="pc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FCEB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40.21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</w:t>
            </w:r>
          </w:p>
        </w:tc>
        <w:tc>
          <w:tcPr>
            <w:tcW w:w="1343" w:type="pct"/>
            <w:tcBorders>
              <w:top w:val="nil"/>
              <w:left w:val="single" w:color="auto" w:sz="6" w:space="0"/>
            </w:tcBorders>
            <w:shd w:val="clear" w:color="000000" w:fill="FFFFFF"/>
            <w:noWrap/>
            <w:vAlign w:val="center"/>
          </w:tcPr>
          <w:p w14:paraId="6BA7BE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1.4</w:t>
            </w:r>
          </w:p>
        </w:tc>
      </w:tr>
      <w:tr w14:paraId="1B6037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42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96E1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32"/>
                <w:szCs w:val="32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32"/>
                <w:szCs w:val="32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各项贷款余额</w:t>
            </w:r>
          </w:p>
        </w:tc>
        <w:tc>
          <w:tcPr>
            <w:tcW w:w="1228" w:type="pc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6E83D1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327.80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</w:t>
            </w:r>
          </w:p>
        </w:tc>
        <w:tc>
          <w:tcPr>
            <w:tcW w:w="1343" w:type="pct"/>
            <w:tcBorders>
              <w:top w:val="nil"/>
              <w:left w:val="single" w:color="auto" w:sz="6" w:space="0"/>
            </w:tcBorders>
            <w:shd w:val="clear" w:color="000000" w:fill="FFFFFF"/>
            <w:noWrap/>
            <w:vAlign w:val="center"/>
          </w:tcPr>
          <w:p w14:paraId="2A654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9.9</w:t>
            </w:r>
          </w:p>
        </w:tc>
      </w:tr>
      <w:tr w14:paraId="50E70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428" w:type="pct"/>
            <w:tcBorders>
              <w:top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4CB9C7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35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73"/>
                <w:kern w:val="0"/>
                <w:sz w:val="32"/>
                <w:szCs w:val="32"/>
                <w:shd w:val="clear" w:color="auto" w:fill="auto"/>
                <w:fitText w:val="1644" w:id="-1279543551"/>
              </w:rPr>
              <w:t>其中：住户贷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2"/>
                <w:w w:val="73"/>
                <w:kern w:val="0"/>
                <w:sz w:val="32"/>
                <w:szCs w:val="32"/>
                <w:shd w:val="clear" w:color="auto" w:fill="auto"/>
                <w:fitText w:val="1644" w:id="-1279543551"/>
              </w:rPr>
              <w:t>款</w:t>
            </w:r>
          </w:p>
        </w:tc>
        <w:tc>
          <w:tcPr>
            <w:tcW w:w="1228" w:type="pc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FF7FD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169.95</w:t>
            </w: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  <w:t xml:space="preserve"> </w:t>
            </w:r>
          </w:p>
        </w:tc>
        <w:tc>
          <w:tcPr>
            <w:tcW w:w="1343" w:type="pct"/>
            <w:tcBorders>
              <w:top w:val="nil"/>
              <w:left w:val="single" w:color="auto" w:sz="6" w:space="0"/>
            </w:tcBorders>
            <w:shd w:val="clear" w:color="000000" w:fill="FFFFFF"/>
            <w:noWrap/>
            <w:vAlign w:val="center"/>
          </w:tcPr>
          <w:p w14:paraId="597E3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1.9</w:t>
            </w:r>
          </w:p>
        </w:tc>
      </w:tr>
      <w:tr w14:paraId="03B3F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2428" w:type="pct"/>
            <w:tcBorders>
              <w:top w:val="nil"/>
              <w:bottom w:val="single" w:color="auto" w:sz="18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1A0D7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92" w:firstLineChars="3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pacing w:val="1"/>
                <w:w w:val="82"/>
                <w:kern w:val="0"/>
                <w:sz w:val="32"/>
                <w:szCs w:val="32"/>
                <w:shd w:val="clear" w:color="auto" w:fill="auto"/>
                <w:fitText w:val="3180" w:id="-1279543296"/>
              </w:rPr>
              <w:t>非金融企业及机关团体贷</w:t>
            </w:r>
            <w:r>
              <w:rPr>
                <w:rFonts w:hint="default" w:ascii="Times New Roman" w:hAnsi="Times New Roman" w:eastAsia="仿宋" w:cs="Times New Roman"/>
                <w:color w:val="000000"/>
                <w:spacing w:val="19"/>
                <w:w w:val="82"/>
                <w:kern w:val="0"/>
                <w:sz w:val="32"/>
                <w:szCs w:val="32"/>
                <w:shd w:val="clear" w:color="auto" w:fill="auto"/>
                <w:fitText w:val="3180" w:id="-1279543296"/>
              </w:rPr>
              <w:t>款</w:t>
            </w:r>
          </w:p>
        </w:tc>
        <w:tc>
          <w:tcPr>
            <w:tcW w:w="1228" w:type="pct"/>
            <w:tcBorders>
              <w:top w:val="nil"/>
              <w:left w:val="single" w:color="auto" w:sz="6" w:space="0"/>
              <w:bottom w:val="single" w:color="auto" w:sz="18" w:space="0"/>
              <w:right w:val="single" w:color="auto" w:sz="6" w:space="0"/>
            </w:tcBorders>
            <w:shd w:val="clear" w:color="000000" w:fill="FFFFFF"/>
            <w:noWrap/>
            <w:vAlign w:val="center"/>
          </w:tcPr>
          <w:p w14:paraId="78F01D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157.13</w:t>
            </w:r>
          </w:p>
        </w:tc>
        <w:tc>
          <w:tcPr>
            <w:tcW w:w="1343" w:type="pct"/>
            <w:tcBorders>
              <w:top w:val="nil"/>
              <w:left w:val="single" w:color="auto" w:sz="6" w:space="0"/>
              <w:bottom w:val="single" w:color="auto" w:sz="18" w:space="0"/>
            </w:tcBorders>
            <w:shd w:val="clear" w:color="000000" w:fill="FFFFFF"/>
            <w:noWrap/>
            <w:vAlign w:val="center"/>
          </w:tcPr>
          <w:p w14:paraId="633F7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315" w:rightChars="150"/>
              <w:jc w:val="right"/>
              <w:textAlignment w:val="auto"/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32"/>
                <w:szCs w:val="32"/>
                <w:shd w:val="clear" w:color="auto" w:fill="auto"/>
                <w:lang w:val="en-US" w:eastAsia="zh-CN"/>
              </w:rPr>
              <w:t>19.5</w:t>
            </w:r>
          </w:p>
        </w:tc>
      </w:tr>
    </w:tbl>
    <w:p w14:paraId="306BA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478" w:beforeLines="1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九、人民生活和社会保障</w:t>
      </w:r>
    </w:p>
    <w:p w14:paraId="6E0EC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全年居民人均可支配收入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44678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元，比上年增长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4.8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%。按常住地分，农村居民人均可支配收入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31362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5.5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%；城镇居民人均可支配收入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52155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元，增长4.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752DFC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50" w:line="540" w:lineRule="exact"/>
        <w:jc w:val="center"/>
        <w:textAlignment w:val="auto"/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FFFFFF" w:fill="D9D9D9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图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 xml:space="preserve">  20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-202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仿宋" w:cs="Times New Roman"/>
          <w:b/>
          <w:color w:val="000000" w:themeColor="text1"/>
          <w:sz w:val="30"/>
          <w:szCs w:val="30"/>
          <w:shd w:val="clear" w:color="auto" w:fill="auto"/>
          <w14:textFill>
            <w14:solidFill>
              <w14:schemeClr w14:val="tx1"/>
            </w14:solidFill>
          </w14:textFill>
        </w:rPr>
        <w:t>年居民人均可支配收入及其增长速度</w:t>
      </w:r>
    </w:p>
    <w:p w14:paraId="730DB8D8">
      <w:pPr>
        <w:jc w:val="center"/>
        <w:rPr>
          <w:rFonts w:hint="default" w:ascii="Times New Roman" w:hAnsi="Times New Roman" w:eastAsia="方正仿宋简体" w:cs="Times New Roman"/>
          <w:color w:val="FF000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495925" cy="3166745"/>
            <wp:effectExtent l="0" t="0" r="9525" b="14605"/>
            <wp:docPr id="1" name="图表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8882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全年居民人均生活消费支出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32093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元，比上年增长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7.7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%。按常住地分，农村居民人均生活消费支出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24735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7.8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%；城镇居民人均生活消费支出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36225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元，增长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7.2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50254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年末参加城镇职工基本养老保险人数79340人，比上年增加3991人，其中在职61942人，离退休人员17398人，全部实现养老金按时足额发放。参加机关事业单位养老保险人数10896人，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比上年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增加441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，其中在职6352人，离退休人员4544人，全部实现养老金按时足额发放。参加城乡居民社会养老保险人数119175人，其中60周岁以下75509人，60周岁及以上43666人，全部实现养老金按时足额发放。参加职工基本医疗保险42380人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比上年增加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1434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；参加城乡居民基本医疗保险209839人，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比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上年减少200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参加失业保险企业4171家30904人，享受失业金人员达16393人（次）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发放失业金约2903.56万元。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在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</w:rPr>
        <w:t>“两节”期间积极开展“送温暖”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活动，为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名下岗失业职工、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160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名退休困难职工、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名企业在岗困难农民等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238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名困难人员合计发放慰问金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11.9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万元。纳入城市最低生活保障居民共366户，473人；纳入农村最低生活保障居民2399户，3705人。城乡特困供养对象328人。</w:t>
      </w:r>
    </w:p>
    <w:p w14:paraId="1B9468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年末全区共有各类公益性社会福利单位床位2405张。全区建立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乡镇（街道）民政服务站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12个。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全年销售社会福利彩票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2823.68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万元，筹集社会福利资金1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0万元。</w:t>
      </w:r>
    </w:p>
    <w:p w14:paraId="6FEAD14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十、教育和科学技术</w:t>
      </w:r>
    </w:p>
    <w:p w14:paraId="5E555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区现有各级各类学校84所，其中：独立高中3所、完全中学2所、初中5所、九年一贯制学校9所、小学18所、幼儿园41所、特殊教育学校1所、教师进修学校1所、开放大学1所、青少年学生校外活动中心1所、中等职业学校2所。</w:t>
      </w:r>
    </w:p>
    <w:p w14:paraId="3C3120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全区现有在校生56583人，其中：中等职业教育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全日制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招生1648人，在校生4615人，毕业生2150人。全区普通高中招生3228人，在校生9368人，毕业生2710人。全区初中招生4304人，在校生13444人，毕业生4762人。普通小学招生2778人，在校生21247人，毕业生4153人。特殊教育学校87人。幼儿园在园幼儿5336人。</w:t>
      </w:r>
    </w:p>
    <w:p w14:paraId="2F8B60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全年申报市级以上科技计划项目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项，获上级科技部门批准立项和支持的项目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项，其中申报省级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项，立项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项。截止年末，全区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共有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国家高新技术企业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50家，本年新增6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国家科技型中小企业50家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；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省级企业技术中心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新增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家；市级企业技术中心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新增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家。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重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 w:color="auto" w:fill="auto"/>
          <w:lang w:eastAsia="zh-CN"/>
        </w:rPr>
        <w:t>点“小巨人”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企业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2家，本年新增1家；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国家级专精特新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 w:color="auto" w:fill="auto"/>
        </w:rPr>
        <w:t>“小巨人”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企业5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家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新增1家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；省级</w:t>
      </w:r>
      <w:r>
        <w:rPr>
          <w:rFonts w:hint="eastAsia" w:ascii="仿宋" w:hAnsi="仿宋" w:eastAsia="仿宋" w:cs="仿宋"/>
          <w:sz w:val="32"/>
          <w:szCs w:val="32"/>
          <w:highlight w:val="none"/>
          <w:shd w:val="clear" w:color="auto" w:fill="auto"/>
        </w:rPr>
        <w:t>专精特新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中小企业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28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</w:rPr>
        <w:t>家，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eastAsia="zh-CN"/>
        </w:rPr>
        <w:t>新增</w:t>
      </w:r>
      <w:r>
        <w:rPr>
          <w:rFonts w:hint="default" w:ascii="Times New Roman" w:hAnsi="Times New Roman" w:eastAsia="仿宋" w:cs="Times New Roman"/>
          <w:sz w:val="32"/>
          <w:szCs w:val="32"/>
          <w:highlight w:val="none"/>
          <w:shd w:val="clear" w:color="auto" w:fill="auto"/>
          <w:lang w:val="en-US" w:eastAsia="zh-CN"/>
        </w:rPr>
        <w:t>3家。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截止年末，全区共有省级新型研发机构2家、市级新型研发机构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家、省级技术转移机构2家、省级工程技术研究中心6家。省级及以上众创空间3家，其中国家备案1家、省级备案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家。省级科技企业孵化器3家、省级星创天地备案1家。国家知识产权优势企业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家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endnoteReference w:id="2" w:customMarkFollows="1"/>
        <w:t>[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5</w:t>
      </w:r>
      <w:r>
        <w:rPr>
          <w:rStyle w:val="10"/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]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全年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专利授权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321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件，其中发明专利授权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件。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截止年末，共拥有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有效发明专利316件，比上年增长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25.4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</w:t>
      </w:r>
    </w:p>
    <w:p w14:paraId="167443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截止年末，共有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</w:rPr>
        <w:t>“中国名牌产品”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个，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</w:rPr>
        <w:t>“省名牌产品”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23个，</w:t>
      </w:r>
      <w:r>
        <w:rPr>
          <w:rFonts w:hint="eastAsia" w:ascii="仿宋" w:hAnsi="仿宋" w:eastAsia="仿宋" w:cs="仿宋"/>
          <w:sz w:val="32"/>
          <w:szCs w:val="32"/>
          <w:shd w:val="clear" w:color="auto" w:fill="auto"/>
        </w:rPr>
        <w:t>“中国驰名商标”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3个，国家地理标志保护产品1个。参与制修订国家标准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累计达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项；参与制修订行业标准累计达22项；参与制修订地方标准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累计达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项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（本年新增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1项）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。获得三明市质量奖企业3家。</w:t>
      </w:r>
    </w:p>
    <w:p w14:paraId="2B2028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年末全区共有国家级地面气象观测站5个，其中国家基本气象站1个；省级区域自动站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个，交通站2个，土壤水分站1个，农田小气候站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个。</w:t>
      </w:r>
    </w:p>
    <w:p w14:paraId="42750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十一、文</w:t>
      </w: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  <w:lang w:eastAsia="zh-CN"/>
        </w:rPr>
        <w:t>旅</w:t>
      </w: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、卫生和体育</w:t>
      </w:r>
    </w:p>
    <w:p w14:paraId="367F33F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年末全区共有艺术表演团体1个，公共图书馆1个，博物馆1个，文物保护管理机构1个。国家级非物质文化遗产项目1个，省级非物质文化遗产项目5个。全年文化系统各类艺术表演团体演出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56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场，观众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5.12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万人次，影剧院演出2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，农村公益数字电影放映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2139场，观影人数12.8万余人次，新增固定放映点1个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。</w:t>
      </w:r>
    </w:p>
    <w:p w14:paraId="286EBA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年末全区共有A级景区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7个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，其中4A级景区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1个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，3A级景区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6个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，省级风景名胜区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全年举办沙县小吃文旅进高校宣传推介活动2场，策划高校大学生精品旅游线路5条，研学线路6条。全年接待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国内旅游人数968.6万人次，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增长11.4%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国内游客旅游花费67.69亿元，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比上年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增长11.2%。</w:t>
      </w:r>
    </w:p>
    <w:p w14:paraId="6810C96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年末共有各类卫生机构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254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个。其中，医院2个，乡镇卫生院、分院10个，社区卫生服务中心2个，社区卫生服务站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个，民营及个体医疗机构6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个，疾病预防控制中心1个，妇幼保健院1个，卫生消毒站1个。全区公立医疗卫生单位共有专业卫生技术人员1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771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人，其中执业医师（含助理）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672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人，注册护士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829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人。全区卫生机构床位总数13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床，其中区总医院（含中医医院）801床，乡镇卫生院341床，民营机构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221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床。全区村级卫生医疗所1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63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个，村级医生13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人。全区甲乙类传染病发病率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406.4578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/10万人。</w:t>
      </w:r>
    </w:p>
    <w:p w14:paraId="1F2E179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全年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参加全省性竞技比赛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101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人次，获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金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银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铜；参加全市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性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竞技比赛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190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人次，获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42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金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41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银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铜。实施沙县龙湖智慧体育公园项目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。成功举办第十五届全运会群众比赛篮球项目、福建省青少年射箭锦标赛、海峡两岸青少年足球邀请赛、海峡两岸（沙县）小吃美食路跑等大型体育赛事15场，吸引外地运动员和游客12000多人次，其中台胞参赛180多人次；举办中小学生羽毛球、乒乓球、足球、篮球、航模等青少年体育竞赛10场，参赛学生3000多人次。余梦汐获第一届全国青少年田径运动会女子4×100米接力、4×100米混合接力赛双冠军；金沙高级中学获全国青少年校园（俱乐部）手球联赛暨全国青少年男子U18校园组冠军。</w:t>
      </w:r>
    </w:p>
    <w:p w14:paraId="48B96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7" w:beforeLines="50" w:line="560" w:lineRule="exact"/>
        <w:jc w:val="center"/>
        <w:textAlignment w:val="auto"/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</w:pPr>
      <w:r>
        <w:rPr>
          <w:rFonts w:hint="default" w:ascii="Times New Roman" w:hAnsi="Times New Roman" w:eastAsia="黑体" w:cs="Times New Roman"/>
          <w:sz w:val="36"/>
          <w:szCs w:val="36"/>
          <w:shd w:val="clear" w:color="auto" w:fill="auto"/>
        </w:rPr>
        <w:t>十二、资源、环境和安全生产</w:t>
      </w:r>
    </w:p>
    <w:p w14:paraId="174234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全年植树造林总面积19951亩，占市定任务的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145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其中，人工造林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亩，人工更新和人工促进天然更新19934亩。全区森林覆盖率7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9.38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%。商品材产量218261立方米，比上年下降17.4%。</w:t>
      </w:r>
    </w:p>
    <w:p w14:paraId="1D25D1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截止年末，城市建成区绿地面积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1385.17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公顷，绿地率38.63%，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eastAsia="zh-CN"/>
        </w:rPr>
        <w:t>绿化覆盖率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39.54%</w:t>
      </w: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；全年新增口袋公园2个、精品公园1个；年末人均公园绿地面积31.63平方米，公园绿化活动场地服务半径覆盖率86.92%。</w:t>
      </w:r>
    </w:p>
    <w:p w14:paraId="1CED8D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</w:rPr>
        <w:t>共有省级以上自然保护区1个，总面积261.36公顷，占全区土地面积的0.145%。省级风景名胜区1处，总面积648公顷，占全区土地面积的0.36%。</w:t>
      </w:r>
    </w:p>
    <w:p w14:paraId="269C6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FFFFFF" w:fill="D9D9D9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建成区生活污水集中收集率达到75%，比上年提升5个百分点，全年污水处理率98%。生活垃圾无害化处理率100%。境内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沙溪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、东溪等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条主要水系，水质基本符合地表水Ⅲ类水质要求；沙溪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个省控断面达标率为100%。区内空气质量达到二级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或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优于二级的天数（API≤100）达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100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%，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较上年上升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0.5个百分点；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城区道路交通昼间噪声平均等效声级为6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1.4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分贝，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比上年降低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0.4分贝，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城区昼间环境噪声54.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分贝，比上年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降低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0.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分贝。</w:t>
      </w:r>
    </w:p>
    <w:p w14:paraId="4D55A2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</w:pP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全年共发生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各类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安全生产事故4起，死亡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人，与上年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持平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，未发生较大以上安全生产事故。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eastAsia="zh-CN"/>
        </w:rPr>
        <w:t>全年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亿元地区生产总值生产安全事故死亡人数0.0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  <w:lang w:val="en-US" w:eastAsia="zh-CN"/>
        </w:rPr>
        <w:t>06</w:t>
      </w:r>
      <w:r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  <w:t>人。</w:t>
      </w:r>
    </w:p>
    <w:p w14:paraId="47DE4D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" w:cs="Times New Roman"/>
          <w:color w:val="000000"/>
          <w:kern w:val="0"/>
          <w:sz w:val="32"/>
          <w:szCs w:val="32"/>
          <w:shd w:val="clear" w:color="auto" w:fill="auto"/>
        </w:rPr>
      </w:pPr>
    </w:p>
    <w:sectPr>
      <w:footerReference r:id="rId5" w:type="default"/>
      <w:footerReference r:id="rId6" w:type="even"/>
      <w:pgSz w:w="11905" w:h="16838"/>
      <w:pgMar w:top="1587" w:right="1587" w:bottom="1587" w:left="1587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8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6">
    <w:p/>
  </w:endnote>
  <w:endnote w:type="continuationSeparator" w:id="7">
    <w:p/>
  </w:endnote>
  <w:endnote w:id="0">
    <w:p w14:paraId="3942748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0" w:beforeLines="50" w:line="56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注释：</w:t>
      </w:r>
    </w:p>
    <w:p w14:paraId="0E926B8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[1]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本公报所列数据为初步统计数。</w:t>
      </w:r>
    </w:p>
    <w:p w14:paraId="61DB8D1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[2]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本公报地区生产总值、各产业增加值绝对数按现价计算，增长速度按可比价格计算。</w:t>
      </w:r>
    </w:p>
    <w:p w14:paraId="22ED99C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[3]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按照我国地区生产总值统一核算和数据发布制度规定，地区生产总值核算包括初步核算和最终核实两个步骤。经三明市统计局最终核实，2024年全区地区生产总值现价总量为293.83亿元。据此计算，2024年沙县区人均GDP达到119200元。</w:t>
      </w:r>
    </w:p>
  </w:endnote>
  <w:endnote w:id="1">
    <w:p w14:paraId="5587126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[4]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上级统计机构未反馈2025年沙县区常住人口的出生率、死亡率、自然增长率。</w:t>
      </w:r>
    </w:p>
  </w:endnote>
  <w:endnote w:id="2">
    <w:p w14:paraId="648A6BC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[5]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2025年起，省里已取消省级知识产权优势企业的认定。</w:t>
      </w:r>
    </w:p>
    <w:p w14:paraId="517BE49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29BA15D0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</w:p>
    <w:p w14:paraId="4FF9EA6A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资料来源：</w:t>
      </w:r>
    </w:p>
    <w:p w14:paraId="5A0727C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本公报中城镇新增就业、社会保障数据来自区人社局；</w:t>
      </w:r>
    </w:p>
    <w:p w14:paraId="436A5E2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财政数据来自区财政局；</w:t>
      </w:r>
    </w:p>
    <w:p w14:paraId="7A79DDF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重点项目投资数据来自区发改局；</w:t>
      </w:r>
    </w:p>
    <w:p w14:paraId="5C7A621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公路里程、公路运输及生产数据来自区交通运输局；</w:t>
      </w:r>
    </w:p>
    <w:p w14:paraId="4E4D735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户籍人口数据来自区公安局；</w:t>
      </w:r>
    </w:p>
    <w:p w14:paraId="659D5BB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城市污水处理、公园绿地面积数据来自区城市管理局；</w:t>
      </w:r>
    </w:p>
    <w:p w14:paraId="0642AEC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进出口数据、外商直接投资数据来自区商务局；</w:t>
      </w:r>
    </w:p>
    <w:p w14:paraId="03CADE5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文化、旅游、体育数据来自区文体和旅游局；</w:t>
      </w:r>
    </w:p>
    <w:p w14:paraId="405DE36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货币金融数据来自人行三明市分行；</w:t>
      </w:r>
    </w:p>
    <w:p w14:paraId="788C752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企业技术中心数据、研发机构数据、科技项目数据来自区工信与科技局；</w:t>
      </w:r>
    </w:p>
    <w:p w14:paraId="20AA99E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教育数据来自区教育局；</w:t>
      </w:r>
    </w:p>
    <w:p w14:paraId="61D9C6D5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专利、知识产权数据来自区市场监管局；</w:t>
      </w:r>
    </w:p>
    <w:p w14:paraId="1117C57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气象数据来自区气象局；</w:t>
      </w:r>
    </w:p>
    <w:p w14:paraId="573FA42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卫生数据来自区卫健局；</w:t>
      </w:r>
    </w:p>
    <w:p w14:paraId="39FC737E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医保数据来自区医保局；</w:t>
      </w:r>
    </w:p>
    <w:p w14:paraId="63879F6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低保、养老数据来自区民政局；</w:t>
      </w:r>
    </w:p>
    <w:p w14:paraId="5F56804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环境监测数据来自区生态环境局；</w:t>
      </w:r>
    </w:p>
    <w:p w14:paraId="174D8BF3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应急管理数据来自区应急局；</w:t>
      </w:r>
    </w:p>
    <w:p w14:paraId="2AA52E81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林业数据来自区林业局；</w:t>
      </w:r>
    </w:p>
    <w:p w14:paraId="4C64165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耕地数据来自区自然资源局；</w:t>
      </w:r>
    </w:p>
    <w:p w14:paraId="067E4BB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电力数据来自区供电公司；</w:t>
      </w:r>
    </w:p>
    <w:p w14:paraId="646E6A3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shd w:val="clear" w:color="auto" w:fill="auto"/>
          <w:lang w:val="en-US" w:eastAsia="zh-CN"/>
        </w:rPr>
        <w:t>其他数据来自沙县区统计局。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314439"/>
    </w:sdtPr>
    <w:sdtEndPr>
      <w:rPr>
        <w:rFonts w:ascii="Times New Roman" w:hAnsi="Times New Roman" w:cs="Times New Roman"/>
        <w:sz w:val="24"/>
        <w:szCs w:val="24"/>
      </w:rPr>
    </w:sdtEndPr>
    <w:sdtContent>
      <w:p w14:paraId="1FC62FEB">
        <w:pPr>
          <w:pStyle w:val="6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  <w:lang w:val="zh-CN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314458"/>
    </w:sdtPr>
    <w:sdtEndPr>
      <w:rPr>
        <w:rFonts w:ascii="Times New Roman" w:hAnsi="Times New Roman" w:cs="Times New Roman"/>
        <w:sz w:val="24"/>
        <w:szCs w:val="24"/>
      </w:rPr>
    </w:sdtEndPr>
    <w:sdtContent>
      <w:p w14:paraId="1A071EAA">
        <w:pPr>
          <w:pStyle w:val="6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12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9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6"/>
    <w:endnote w:id="7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mOWMzYmVmMTZkNGFjMDhjZGI5YmM3Zjg5NzdiZGEifQ=="/>
  </w:docVars>
  <w:rsids>
    <w:rsidRoot w:val="00861B9C"/>
    <w:rsid w:val="0000416B"/>
    <w:rsid w:val="00005A81"/>
    <w:rsid w:val="0000605C"/>
    <w:rsid w:val="0001049F"/>
    <w:rsid w:val="00010E46"/>
    <w:rsid w:val="00012B00"/>
    <w:rsid w:val="000138B9"/>
    <w:rsid w:val="0001430C"/>
    <w:rsid w:val="00014349"/>
    <w:rsid w:val="00024013"/>
    <w:rsid w:val="00024720"/>
    <w:rsid w:val="00025ACB"/>
    <w:rsid w:val="00034BC9"/>
    <w:rsid w:val="00036E40"/>
    <w:rsid w:val="000403B4"/>
    <w:rsid w:val="0004062F"/>
    <w:rsid w:val="0004262D"/>
    <w:rsid w:val="00042820"/>
    <w:rsid w:val="00046668"/>
    <w:rsid w:val="00046BBC"/>
    <w:rsid w:val="000516C1"/>
    <w:rsid w:val="000519EE"/>
    <w:rsid w:val="00051D6C"/>
    <w:rsid w:val="000541FB"/>
    <w:rsid w:val="00057503"/>
    <w:rsid w:val="000614BA"/>
    <w:rsid w:val="000619A1"/>
    <w:rsid w:val="000619D0"/>
    <w:rsid w:val="00063CFC"/>
    <w:rsid w:val="00065583"/>
    <w:rsid w:val="00070592"/>
    <w:rsid w:val="00070D1E"/>
    <w:rsid w:val="00072F2F"/>
    <w:rsid w:val="0007410E"/>
    <w:rsid w:val="000760E8"/>
    <w:rsid w:val="00086A98"/>
    <w:rsid w:val="00087FFA"/>
    <w:rsid w:val="000908CA"/>
    <w:rsid w:val="00090F3B"/>
    <w:rsid w:val="000938A3"/>
    <w:rsid w:val="000A0795"/>
    <w:rsid w:val="000A1C59"/>
    <w:rsid w:val="000A2643"/>
    <w:rsid w:val="000A43F5"/>
    <w:rsid w:val="000A4EE8"/>
    <w:rsid w:val="000A5286"/>
    <w:rsid w:val="000A59B5"/>
    <w:rsid w:val="000A5AE8"/>
    <w:rsid w:val="000A779D"/>
    <w:rsid w:val="000A7BC4"/>
    <w:rsid w:val="000A7D93"/>
    <w:rsid w:val="000B016B"/>
    <w:rsid w:val="000B0FE4"/>
    <w:rsid w:val="000B3899"/>
    <w:rsid w:val="000B5838"/>
    <w:rsid w:val="000B6306"/>
    <w:rsid w:val="000C28E8"/>
    <w:rsid w:val="000C2C30"/>
    <w:rsid w:val="000C2DB5"/>
    <w:rsid w:val="000C331B"/>
    <w:rsid w:val="000C51CA"/>
    <w:rsid w:val="000D5E4E"/>
    <w:rsid w:val="000E0B3B"/>
    <w:rsid w:val="000E1286"/>
    <w:rsid w:val="000E25C3"/>
    <w:rsid w:val="000E6BC3"/>
    <w:rsid w:val="000E6F7F"/>
    <w:rsid w:val="00120990"/>
    <w:rsid w:val="001232F1"/>
    <w:rsid w:val="001261D1"/>
    <w:rsid w:val="00126E8E"/>
    <w:rsid w:val="00130D1E"/>
    <w:rsid w:val="00133486"/>
    <w:rsid w:val="00143F7D"/>
    <w:rsid w:val="0014433D"/>
    <w:rsid w:val="00144A90"/>
    <w:rsid w:val="00151224"/>
    <w:rsid w:val="0016257B"/>
    <w:rsid w:val="0016549C"/>
    <w:rsid w:val="00172A49"/>
    <w:rsid w:val="00172C9B"/>
    <w:rsid w:val="00172F0C"/>
    <w:rsid w:val="00175231"/>
    <w:rsid w:val="00175A7A"/>
    <w:rsid w:val="00183D5A"/>
    <w:rsid w:val="00184026"/>
    <w:rsid w:val="00184ED0"/>
    <w:rsid w:val="00185E92"/>
    <w:rsid w:val="00195868"/>
    <w:rsid w:val="00195F7C"/>
    <w:rsid w:val="00196CE7"/>
    <w:rsid w:val="001A57F1"/>
    <w:rsid w:val="001A5983"/>
    <w:rsid w:val="001B0D65"/>
    <w:rsid w:val="001B25ED"/>
    <w:rsid w:val="001B4501"/>
    <w:rsid w:val="001C025D"/>
    <w:rsid w:val="001C0FD0"/>
    <w:rsid w:val="001C296E"/>
    <w:rsid w:val="001C5252"/>
    <w:rsid w:val="001C6D43"/>
    <w:rsid w:val="001D1A8C"/>
    <w:rsid w:val="001D247E"/>
    <w:rsid w:val="001D45EE"/>
    <w:rsid w:val="001D734D"/>
    <w:rsid w:val="001E149A"/>
    <w:rsid w:val="001E1E6F"/>
    <w:rsid w:val="001F03B5"/>
    <w:rsid w:val="001F1000"/>
    <w:rsid w:val="001F5D4B"/>
    <w:rsid w:val="0020082D"/>
    <w:rsid w:val="002008E9"/>
    <w:rsid w:val="00200E23"/>
    <w:rsid w:val="00202FD0"/>
    <w:rsid w:val="00213E45"/>
    <w:rsid w:val="002146FF"/>
    <w:rsid w:val="002164DB"/>
    <w:rsid w:val="002166C7"/>
    <w:rsid w:val="0021707F"/>
    <w:rsid w:val="00220DCC"/>
    <w:rsid w:val="0022142E"/>
    <w:rsid w:val="002216DC"/>
    <w:rsid w:val="0022240D"/>
    <w:rsid w:val="0022359A"/>
    <w:rsid w:val="002266B6"/>
    <w:rsid w:val="00227629"/>
    <w:rsid w:val="00230D16"/>
    <w:rsid w:val="00233EC8"/>
    <w:rsid w:val="0024012F"/>
    <w:rsid w:val="002413ED"/>
    <w:rsid w:val="00242A44"/>
    <w:rsid w:val="00244F0B"/>
    <w:rsid w:val="00245C96"/>
    <w:rsid w:val="00247AEB"/>
    <w:rsid w:val="0025057F"/>
    <w:rsid w:val="002505BA"/>
    <w:rsid w:val="00252483"/>
    <w:rsid w:val="00254CFB"/>
    <w:rsid w:val="002679F6"/>
    <w:rsid w:val="00270481"/>
    <w:rsid w:val="0027173B"/>
    <w:rsid w:val="002722C3"/>
    <w:rsid w:val="00272607"/>
    <w:rsid w:val="00277B3D"/>
    <w:rsid w:val="00282992"/>
    <w:rsid w:val="002834C6"/>
    <w:rsid w:val="0028430F"/>
    <w:rsid w:val="00284FBF"/>
    <w:rsid w:val="0028737A"/>
    <w:rsid w:val="00293E69"/>
    <w:rsid w:val="00296201"/>
    <w:rsid w:val="002A1A87"/>
    <w:rsid w:val="002A457A"/>
    <w:rsid w:val="002A4FE1"/>
    <w:rsid w:val="002A54D3"/>
    <w:rsid w:val="002A5BBF"/>
    <w:rsid w:val="002A6FC0"/>
    <w:rsid w:val="002B48B7"/>
    <w:rsid w:val="002B58DA"/>
    <w:rsid w:val="002B7E35"/>
    <w:rsid w:val="002B7FAE"/>
    <w:rsid w:val="002C2323"/>
    <w:rsid w:val="002C6233"/>
    <w:rsid w:val="002C725D"/>
    <w:rsid w:val="002D052A"/>
    <w:rsid w:val="002D0B4F"/>
    <w:rsid w:val="002D235B"/>
    <w:rsid w:val="002D2B93"/>
    <w:rsid w:val="002E281F"/>
    <w:rsid w:val="002E554E"/>
    <w:rsid w:val="002E747A"/>
    <w:rsid w:val="002F113D"/>
    <w:rsid w:val="002F1BF2"/>
    <w:rsid w:val="002F1C9D"/>
    <w:rsid w:val="002F26A9"/>
    <w:rsid w:val="002F2FC9"/>
    <w:rsid w:val="002F3594"/>
    <w:rsid w:val="00303381"/>
    <w:rsid w:val="0030622F"/>
    <w:rsid w:val="00306338"/>
    <w:rsid w:val="00311E50"/>
    <w:rsid w:val="00315605"/>
    <w:rsid w:val="003172BF"/>
    <w:rsid w:val="0032019D"/>
    <w:rsid w:val="00321940"/>
    <w:rsid w:val="003230F0"/>
    <w:rsid w:val="003300F4"/>
    <w:rsid w:val="003323FB"/>
    <w:rsid w:val="00336C7B"/>
    <w:rsid w:val="003460D7"/>
    <w:rsid w:val="00353E61"/>
    <w:rsid w:val="0035614C"/>
    <w:rsid w:val="00356D3F"/>
    <w:rsid w:val="00365E91"/>
    <w:rsid w:val="003718CA"/>
    <w:rsid w:val="00376F2D"/>
    <w:rsid w:val="00377643"/>
    <w:rsid w:val="00382B40"/>
    <w:rsid w:val="00386359"/>
    <w:rsid w:val="00386CF5"/>
    <w:rsid w:val="00387035"/>
    <w:rsid w:val="0038740C"/>
    <w:rsid w:val="00392286"/>
    <w:rsid w:val="00392C21"/>
    <w:rsid w:val="003943C9"/>
    <w:rsid w:val="003967D2"/>
    <w:rsid w:val="003B3F21"/>
    <w:rsid w:val="003B491E"/>
    <w:rsid w:val="003B6387"/>
    <w:rsid w:val="003C09E4"/>
    <w:rsid w:val="003C2292"/>
    <w:rsid w:val="003C27E0"/>
    <w:rsid w:val="003C44A4"/>
    <w:rsid w:val="003D024D"/>
    <w:rsid w:val="003D10DA"/>
    <w:rsid w:val="003D3FD2"/>
    <w:rsid w:val="003D529F"/>
    <w:rsid w:val="003D6F7D"/>
    <w:rsid w:val="003D73CF"/>
    <w:rsid w:val="003D7D14"/>
    <w:rsid w:val="003E2019"/>
    <w:rsid w:val="003F0188"/>
    <w:rsid w:val="003F71A0"/>
    <w:rsid w:val="003F7B82"/>
    <w:rsid w:val="004009F8"/>
    <w:rsid w:val="004112A5"/>
    <w:rsid w:val="004113D5"/>
    <w:rsid w:val="00411498"/>
    <w:rsid w:val="00412D4E"/>
    <w:rsid w:val="004151D0"/>
    <w:rsid w:val="0042096F"/>
    <w:rsid w:val="004255FB"/>
    <w:rsid w:val="00431981"/>
    <w:rsid w:val="004327FF"/>
    <w:rsid w:val="00433042"/>
    <w:rsid w:val="004367A4"/>
    <w:rsid w:val="00443BA0"/>
    <w:rsid w:val="00443BFE"/>
    <w:rsid w:val="0044680D"/>
    <w:rsid w:val="00464D98"/>
    <w:rsid w:val="0047177C"/>
    <w:rsid w:val="00475C87"/>
    <w:rsid w:val="00477369"/>
    <w:rsid w:val="00480D53"/>
    <w:rsid w:val="004831AF"/>
    <w:rsid w:val="00484E45"/>
    <w:rsid w:val="00490E10"/>
    <w:rsid w:val="004975A1"/>
    <w:rsid w:val="00497C30"/>
    <w:rsid w:val="004B6267"/>
    <w:rsid w:val="004C150D"/>
    <w:rsid w:val="004C763C"/>
    <w:rsid w:val="004D2BE1"/>
    <w:rsid w:val="004E12D3"/>
    <w:rsid w:val="004E7CD5"/>
    <w:rsid w:val="004F0CE9"/>
    <w:rsid w:val="004F2B8F"/>
    <w:rsid w:val="004F641B"/>
    <w:rsid w:val="005003CB"/>
    <w:rsid w:val="00500479"/>
    <w:rsid w:val="00502F1C"/>
    <w:rsid w:val="00506BAE"/>
    <w:rsid w:val="0051463C"/>
    <w:rsid w:val="005169A8"/>
    <w:rsid w:val="00523F12"/>
    <w:rsid w:val="005240FE"/>
    <w:rsid w:val="005241D3"/>
    <w:rsid w:val="00525315"/>
    <w:rsid w:val="005302CA"/>
    <w:rsid w:val="00531EFC"/>
    <w:rsid w:val="00534618"/>
    <w:rsid w:val="00534855"/>
    <w:rsid w:val="00537C28"/>
    <w:rsid w:val="00537F9D"/>
    <w:rsid w:val="0054312E"/>
    <w:rsid w:val="005454E4"/>
    <w:rsid w:val="0054621E"/>
    <w:rsid w:val="00551C86"/>
    <w:rsid w:val="00552377"/>
    <w:rsid w:val="00556900"/>
    <w:rsid w:val="00556BEC"/>
    <w:rsid w:val="00563950"/>
    <w:rsid w:val="00564AEB"/>
    <w:rsid w:val="00574221"/>
    <w:rsid w:val="0057435B"/>
    <w:rsid w:val="005744B5"/>
    <w:rsid w:val="00575B2A"/>
    <w:rsid w:val="00575E20"/>
    <w:rsid w:val="00582EBD"/>
    <w:rsid w:val="005929CB"/>
    <w:rsid w:val="00596845"/>
    <w:rsid w:val="00597CA3"/>
    <w:rsid w:val="005A0D3E"/>
    <w:rsid w:val="005A6366"/>
    <w:rsid w:val="005A6F81"/>
    <w:rsid w:val="005B29E0"/>
    <w:rsid w:val="005B4F7C"/>
    <w:rsid w:val="005B5256"/>
    <w:rsid w:val="005C1FBC"/>
    <w:rsid w:val="005D0E42"/>
    <w:rsid w:val="005D1077"/>
    <w:rsid w:val="005D253C"/>
    <w:rsid w:val="005D4CA0"/>
    <w:rsid w:val="005D5855"/>
    <w:rsid w:val="005D5B6B"/>
    <w:rsid w:val="005D6832"/>
    <w:rsid w:val="005D7B42"/>
    <w:rsid w:val="005E6E28"/>
    <w:rsid w:val="005F36E7"/>
    <w:rsid w:val="005F463D"/>
    <w:rsid w:val="005F60E1"/>
    <w:rsid w:val="005F64B1"/>
    <w:rsid w:val="00600A5D"/>
    <w:rsid w:val="0060362A"/>
    <w:rsid w:val="00606A45"/>
    <w:rsid w:val="00611238"/>
    <w:rsid w:val="0061530F"/>
    <w:rsid w:val="00617981"/>
    <w:rsid w:val="00620002"/>
    <w:rsid w:val="00621FCB"/>
    <w:rsid w:val="00622BED"/>
    <w:rsid w:val="00624537"/>
    <w:rsid w:val="00636A48"/>
    <w:rsid w:val="00642F6F"/>
    <w:rsid w:val="00645367"/>
    <w:rsid w:val="00653CF3"/>
    <w:rsid w:val="00660A12"/>
    <w:rsid w:val="00661256"/>
    <w:rsid w:val="006619CB"/>
    <w:rsid w:val="00662D53"/>
    <w:rsid w:val="00663CD6"/>
    <w:rsid w:val="00674F8F"/>
    <w:rsid w:val="006753F9"/>
    <w:rsid w:val="0067558C"/>
    <w:rsid w:val="006770C8"/>
    <w:rsid w:val="00681B61"/>
    <w:rsid w:val="006852D9"/>
    <w:rsid w:val="00687FD2"/>
    <w:rsid w:val="00696D59"/>
    <w:rsid w:val="00697C50"/>
    <w:rsid w:val="006A0378"/>
    <w:rsid w:val="006A1506"/>
    <w:rsid w:val="006A5436"/>
    <w:rsid w:val="006A6DC6"/>
    <w:rsid w:val="006B242F"/>
    <w:rsid w:val="006B3CB0"/>
    <w:rsid w:val="006B55F2"/>
    <w:rsid w:val="006B6BC8"/>
    <w:rsid w:val="006C7399"/>
    <w:rsid w:val="006D1613"/>
    <w:rsid w:val="006D2868"/>
    <w:rsid w:val="006D63E5"/>
    <w:rsid w:val="006D6A2D"/>
    <w:rsid w:val="006E24E7"/>
    <w:rsid w:val="006E2A7F"/>
    <w:rsid w:val="006E3103"/>
    <w:rsid w:val="006E4D14"/>
    <w:rsid w:val="006E4FA0"/>
    <w:rsid w:val="006F357E"/>
    <w:rsid w:val="007035B7"/>
    <w:rsid w:val="0070761B"/>
    <w:rsid w:val="00710582"/>
    <w:rsid w:val="00712467"/>
    <w:rsid w:val="00712A3C"/>
    <w:rsid w:val="007141C8"/>
    <w:rsid w:val="007168D2"/>
    <w:rsid w:val="00716A43"/>
    <w:rsid w:val="00725ADD"/>
    <w:rsid w:val="00732F80"/>
    <w:rsid w:val="0073454A"/>
    <w:rsid w:val="00735580"/>
    <w:rsid w:val="00735F00"/>
    <w:rsid w:val="00736283"/>
    <w:rsid w:val="00737527"/>
    <w:rsid w:val="007375F7"/>
    <w:rsid w:val="00746A4C"/>
    <w:rsid w:val="00752A55"/>
    <w:rsid w:val="007560EC"/>
    <w:rsid w:val="00756917"/>
    <w:rsid w:val="0076339F"/>
    <w:rsid w:val="00767568"/>
    <w:rsid w:val="0077496D"/>
    <w:rsid w:val="00774F26"/>
    <w:rsid w:val="007756E6"/>
    <w:rsid w:val="0077685E"/>
    <w:rsid w:val="0077797D"/>
    <w:rsid w:val="007802D6"/>
    <w:rsid w:val="007815E5"/>
    <w:rsid w:val="007858CE"/>
    <w:rsid w:val="0078678C"/>
    <w:rsid w:val="0078792A"/>
    <w:rsid w:val="00790548"/>
    <w:rsid w:val="00790EA9"/>
    <w:rsid w:val="007935AC"/>
    <w:rsid w:val="007953C5"/>
    <w:rsid w:val="00795E13"/>
    <w:rsid w:val="00795EFC"/>
    <w:rsid w:val="007A5996"/>
    <w:rsid w:val="007A625A"/>
    <w:rsid w:val="007B09A6"/>
    <w:rsid w:val="007C268F"/>
    <w:rsid w:val="007C56D6"/>
    <w:rsid w:val="007D12BB"/>
    <w:rsid w:val="007D21DA"/>
    <w:rsid w:val="007D3CAC"/>
    <w:rsid w:val="007D4377"/>
    <w:rsid w:val="007D5B9A"/>
    <w:rsid w:val="007D67BF"/>
    <w:rsid w:val="007D7322"/>
    <w:rsid w:val="007E69DD"/>
    <w:rsid w:val="007F330C"/>
    <w:rsid w:val="007F5490"/>
    <w:rsid w:val="007F6308"/>
    <w:rsid w:val="007F7EB4"/>
    <w:rsid w:val="00803FBD"/>
    <w:rsid w:val="00804615"/>
    <w:rsid w:val="008054AA"/>
    <w:rsid w:val="00805B33"/>
    <w:rsid w:val="0081431A"/>
    <w:rsid w:val="00824D64"/>
    <w:rsid w:val="00825F15"/>
    <w:rsid w:val="0083435C"/>
    <w:rsid w:val="00840D0B"/>
    <w:rsid w:val="008473D3"/>
    <w:rsid w:val="008477BB"/>
    <w:rsid w:val="008509EB"/>
    <w:rsid w:val="0085408E"/>
    <w:rsid w:val="008540C1"/>
    <w:rsid w:val="0085595C"/>
    <w:rsid w:val="00855A51"/>
    <w:rsid w:val="00857219"/>
    <w:rsid w:val="0086087A"/>
    <w:rsid w:val="00861B9C"/>
    <w:rsid w:val="00865606"/>
    <w:rsid w:val="008665BE"/>
    <w:rsid w:val="00867DFE"/>
    <w:rsid w:val="0087139F"/>
    <w:rsid w:val="00873DE7"/>
    <w:rsid w:val="00877E3E"/>
    <w:rsid w:val="00883A8C"/>
    <w:rsid w:val="0088414E"/>
    <w:rsid w:val="00885362"/>
    <w:rsid w:val="00887A7F"/>
    <w:rsid w:val="00890FEE"/>
    <w:rsid w:val="008926AC"/>
    <w:rsid w:val="008A2261"/>
    <w:rsid w:val="008A28A1"/>
    <w:rsid w:val="008A4DE7"/>
    <w:rsid w:val="008A6425"/>
    <w:rsid w:val="008A717C"/>
    <w:rsid w:val="008B334C"/>
    <w:rsid w:val="008C171E"/>
    <w:rsid w:val="008C22A6"/>
    <w:rsid w:val="008D540A"/>
    <w:rsid w:val="008E5ABA"/>
    <w:rsid w:val="008F1202"/>
    <w:rsid w:val="008F62F6"/>
    <w:rsid w:val="008F74AB"/>
    <w:rsid w:val="008F7767"/>
    <w:rsid w:val="00900844"/>
    <w:rsid w:val="00901BD7"/>
    <w:rsid w:val="0090398D"/>
    <w:rsid w:val="00904AFD"/>
    <w:rsid w:val="00905F22"/>
    <w:rsid w:val="009073CF"/>
    <w:rsid w:val="009137C7"/>
    <w:rsid w:val="00914721"/>
    <w:rsid w:val="00917CE9"/>
    <w:rsid w:val="0092029C"/>
    <w:rsid w:val="009234A6"/>
    <w:rsid w:val="00923A8C"/>
    <w:rsid w:val="009243DF"/>
    <w:rsid w:val="00934791"/>
    <w:rsid w:val="00935154"/>
    <w:rsid w:val="009374A3"/>
    <w:rsid w:val="009425B5"/>
    <w:rsid w:val="00942737"/>
    <w:rsid w:val="00943164"/>
    <w:rsid w:val="00945650"/>
    <w:rsid w:val="009468DE"/>
    <w:rsid w:val="0095722A"/>
    <w:rsid w:val="00961328"/>
    <w:rsid w:val="00961822"/>
    <w:rsid w:val="0097172B"/>
    <w:rsid w:val="0097511B"/>
    <w:rsid w:val="00976FAE"/>
    <w:rsid w:val="009808D5"/>
    <w:rsid w:val="00980D3A"/>
    <w:rsid w:val="0098102E"/>
    <w:rsid w:val="009830F0"/>
    <w:rsid w:val="00983980"/>
    <w:rsid w:val="009906D3"/>
    <w:rsid w:val="00994001"/>
    <w:rsid w:val="00996099"/>
    <w:rsid w:val="00996E8D"/>
    <w:rsid w:val="0099710A"/>
    <w:rsid w:val="00997AF5"/>
    <w:rsid w:val="009A50AD"/>
    <w:rsid w:val="009A59FD"/>
    <w:rsid w:val="009A76E3"/>
    <w:rsid w:val="009B02EC"/>
    <w:rsid w:val="009B1A64"/>
    <w:rsid w:val="009B24BF"/>
    <w:rsid w:val="009B35C3"/>
    <w:rsid w:val="009B4859"/>
    <w:rsid w:val="009B6D89"/>
    <w:rsid w:val="009B7550"/>
    <w:rsid w:val="009C1B2B"/>
    <w:rsid w:val="009C2E51"/>
    <w:rsid w:val="009C3A66"/>
    <w:rsid w:val="009C5B07"/>
    <w:rsid w:val="009C5CAB"/>
    <w:rsid w:val="009D111E"/>
    <w:rsid w:val="009D6F73"/>
    <w:rsid w:val="009E0322"/>
    <w:rsid w:val="009E036F"/>
    <w:rsid w:val="009E2854"/>
    <w:rsid w:val="009F3A52"/>
    <w:rsid w:val="009F5025"/>
    <w:rsid w:val="009F6812"/>
    <w:rsid w:val="00A01C59"/>
    <w:rsid w:val="00A01E2A"/>
    <w:rsid w:val="00A01EFD"/>
    <w:rsid w:val="00A02EE7"/>
    <w:rsid w:val="00A04DFC"/>
    <w:rsid w:val="00A05AAD"/>
    <w:rsid w:val="00A06ABC"/>
    <w:rsid w:val="00A11424"/>
    <w:rsid w:val="00A1227F"/>
    <w:rsid w:val="00A151DB"/>
    <w:rsid w:val="00A20A1E"/>
    <w:rsid w:val="00A20B48"/>
    <w:rsid w:val="00A24B65"/>
    <w:rsid w:val="00A25C7C"/>
    <w:rsid w:val="00A25FB1"/>
    <w:rsid w:val="00A26E7E"/>
    <w:rsid w:val="00A37CBB"/>
    <w:rsid w:val="00A4203F"/>
    <w:rsid w:val="00A43505"/>
    <w:rsid w:val="00A4534D"/>
    <w:rsid w:val="00A47333"/>
    <w:rsid w:val="00A538E1"/>
    <w:rsid w:val="00A53F45"/>
    <w:rsid w:val="00A54F55"/>
    <w:rsid w:val="00A61C98"/>
    <w:rsid w:val="00A64C9D"/>
    <w:rsid w:val="00A65FD9"/>
    <w:rsid w:val="00A67419"/>
    <w:rsid w:val="00A70DC8"/>
    <w:rsid w:val="00A7212F"/>
    <w:rsid w:val="00A75375"/>
    <w:rsid w:val="00A76F5E"/>
    <w:rsid w:val="00A82214"/>
    <w:rsid w:val="00A84011"/>
    <w:rsid w:val="00A86B83"/>
    <w:rsid w:val="00A87A0D"/>
    <w:rsid w:val="00A91DF0"/>
    <w:rsid w:val="00AA0E31"/>
    <w:rsid w:val="00AA1CF6"/>
    <w:rsid w:val="00AA2E5B"/>
    <w:rsid w:val="00AA3B8A"/>
    <w:rsid w:val="00AA60DB"/>
    <w:rsid w:val="00AA617B"/>
    <w:rsid w:val="00AB28CF"/>
    <w:rsid w:val="00AB5F69"/>
    <w:rsid w:val="00AC067A"/>
    <w:rsid w:val="00AC13BC"/>
    <w:rsid w:val="00AC2ABF"/>
    <w:rsid w:val="00AC30C5"/>
    <w:rsid w:val="00AC44AD"/>
    <w:rsid w:val="00AC518C"/>
    <w:rsid w:val="00AD064D"/>
    <w:rsid w:val="00AD164C"/>
    <w:rsid w:val="00AD2AC3"/>
    <w:rsid w:val="00AD4CFD"/>
    <w:rsid w:val="00AD5BE4"/>
    <w:rsid w:val="00AE0144"/>
    <w:rsid w:val="00AE0271"/>
    <w:rsid w:val="00AE11A7"/>
    <w:rsid w:val="00AF1F1F"/>
    <w:rsid w:val="00B04636"/>
    <w:rsid w:val="00B075A8"/>
    <w:rsid w:val="00B25026"/>
    <w:rsid w:val="00B277DB"/>
    <w:rsid w:val="00B27A9B"/>
    <w:rsid w:val="00B300CE"/>
    <w:rsid w:val="00B301C5"/>
    <w:rsid w:val="00B31D88"/>
    <w:rsid w:val="00B32D31"/>
    <w:rsid w:val="00B34597"/>
    <w:rsid w:val="00B37A19"/>
    <w:rsid w:val="00B37EEE"/>
    <w:rsid w:val="00B41A59"/>
    <w:rsid w:val="00B44E6D"/>
    <w:rsid w:val="00B476F8"/>
    <w:rsid w:val="00B50454"/>
    <w:rsid w:val="00B52522"/>
    <w:rsid w:val="00B53521"/>
    <w:rsid w:val="00B559A7"/>
    <w:rsid w:val="00B56CD3"/>
    <w:rsid w:val="00B57A7F"/>
    <w:rsid w:val="00B60F92"/>
    <w:rsid w:val="00B61AB4"/>
    <w:rsid w:val="00B62545"/>
    <w:rsid w:val="00B63F1A"/>
    <w:rsid w:val="00B65287"/>
    <w:rsid w:val="00B65341"/>
    <w:rsid w:val="00B6671E"/>
    <w:rsid w:val="00B71224"/>
    <w:rsid w:val="00B72A21"/>
    <w:rsid w:val="00B72D9C"/>
    <w:rsid w:val="00B74A39"/>
    <w:rsid w:val="00B752F7"/>
    <w:rsid w:val="00B754C2"/>
    <w:rsid w:val="00B81E9C"/>
    <w:rsid w:val="00B8317F"/>
    <w:rsid w:val="00B85D95"/>
    <w:rsid w:val="00B86113"/>
    <w:rsid w:val="00B90A2F"/>
    <w:rsid w:val="00B93930"/>
    <w:rsid w:val="00B941F4"/>
    <w:rsid w:val="00B96E11"/>
    <w:rsid w:val="00B971F4"/>
    <w:rsid w:val="00BA4268"/>
    <w:rsid w:val="00BA74FC"/>
    <w:rsid w:val="00BB28AD"/>
    <w:rsid w:val="00BB3CEF"/>
    <w:rsid w:val="00BC5CD3"/>
    <w:rsid w:val="00BC64CA"/>
    <w:rsid w:val="00BD1736"/>
    <w:rsid w:val="00BD184C"/>
    <w:rsid w:val="00BD2B45"/>
    <w:rsid w:val="00BD355D"/>
    <w:rsid w:val="00BD4074"/>
    <w:rsid w:val="00BD52F6"/>
    <w:rsid w:val="00BD7E53"/>
    <w:rsid w:val="00BF2D67"/>
    <w:rsid w:val="00BF2E46"/>
    <w:rsid w:val="00BF6DC1"/>
    <w:rsid w:val="00C01D1E"/>
    <w:rsid w:val="00C0393E"/>
    <w:rsid w:val="00C068CF"/>
    <w:rsid w:val="00C07D19"/>
    <w:rsid w:val="00C11CE7"/>
    <w:rsid w:val="00C12426"/>
    <w:rsid w:val="00C12BEF"/>
    <w:rsid w:val="00C1772D"/>
    <w:rsid w:val="00C23533"/>
    <w:rsid w:val="00C26AEF"/>
    <w:rsid w:val="00C26E26"/>
    <w:rsid w:val="00C3137A"/>
    <w:rsid w:val="00C37275"/>
    <w:rsid w:val="00C37894"/>
    <w:rsid w:val="00C42103"/>
    <w:rsid w:val="00C42263"/>
    <w:rsid w:val="00C5353C"/>
    <w:rsid w:val="00C54CC4"/>
    <w:rsid w:val="00C54DDF"/>
    <w:rsid w:val="00C606D0"/>
    <w:rsid w:val="00C60904"/>
    <w:rsid w:val="00C64971"/>
    <w:rsid w:val="00C70DCD"/>
    <w:rsid w:val="00C72521"/>
    <w:rsid w:val="00C73B96"/>
    <w:rsid w:val="00C75FF9"/>
    <w:rsid w:val="00C81EB0"/>
    <w:rsid w:val="00C859B1"/>
    <w:rsid w:val="00C85C05"/>
    <w:rsid w:val="00C8610B"/>
    <w:rsid w:val="00C87502"/>
    <w:rsid w:val="00C927A1"/>
    <w:rsid w:val="00C94D5C"/>
    <w:rsid w:val="00C9607B"/>
    <w:rsid w:val="00CA1D25"/>
    <w:rsid w:val="00CA366F"/>
    <w:rsid w:val="00CA5791"/>
    <w:rsid w:val="00CA706E"/>
    <w:rsid w:val="00CA7D9C"/>
    <w:rsid w:val="00CB2D2E"/>
    <w:rsid w:val="00CB3F13"/>
    <w:rsid w:val="00CB504C"/>
    <w:rsid w:val="00CC2118"/>
    <w:rsid w:val="00CC300D"/>
    <w:rsid w:val="00CC489F"/>
    <w:rsid w:val="00CD03B5"/>
    <w:rsid w:val="00CD7503"/>
    <w:rsid w:val="00CE1F98"/>
    <w:rsid w:val="00CE31FA"/>
    <w:rsid w:val="00CE6D20"/>
    <w:rsid w:val="00CE6F43"/>
    <w:rsid w:val="00CF2D4C"/>
    <w:rsid w:val="00CF6562"/>
    <w:rsid w:val="00D04664"/>
    <w:rsid w:val="00D05584"/>
    <w:rsid w:val="00D067DA"/>
    <w:rsid w:val="00D117F3"/>
    <w:rsid w:val="00D11EDA"/>
    <w:rsid w:val="00D2051F"/>
    <w:rsid w:val="00D234E0"/>
    <w:rsid w:val="00D23CAB"/>
    <w:rsid w:val="00D266C1"/>
    <w:rsid w:val="00D32F6C"/>
    <w:rsid w:val="00D34C82"/>
    <w:rsid w:val="00D367FD"/>
    <w:rsid w:val="00D3710F"/>
    <w:rsid w:val="00D37EF0"/>
    <w:rsid w:val="00D44E23"/>
    <w:rsid w:val="00D46501"/>
    <w:rsid w:val="00D52142"/>
    <w:rsid w:val="00D52C5B"/>
    <w:rsid w:val="00D538FE"/>
    <w:rsid w:val="00D555AF"/>
    <w:rsid w:val="00D5698B"/>
    <w:rsid w:val="00D57017"/>
    <w:rsid w:val="00D60986"/>
    <w:rsid w:val="00D633C6"/>
    <w:rsid w:val="00D64E59"/>
    <w:rsid w:val="00D6670E"/>
    <w:rsid w:val="00D67F80"/>
    <w:rsid w:val="00D70F3F"/>
    <w:rsid w:val="00D74BF7"/>
    <w:rsid w:val="00D8283B"/>
    <w:rsid w:val="00D83CA9"/>
    <w:rsid w:val="00D86C69"/>
    <w:rsid w:val="00D87823"/>
    <w:rsid w:val="00D92F9B"/>
    <w:rsid w:val="00D95AC6"/>
    <w:rsid w:val="00D96771"/>
    <w:rsid w:val="00D96F65"/>
    <w:rsid w:val="00DA0A3A"/>
    <w:rsid w:val="00DA38E1"/>
    <w:rsid w:val="00DA5BF0"/>
    <w:rsid w:val="00DB293B"/>
    <w:rsid w:val="00DB2AB0"/>
    <w:rsid w:val="00DB79A2"/>
    <w:rsid w:val="00DC29B2"/>
    <w:rsid w:val="00DC3068"/>
    <w:rsid w:val="00DD7E24"/>
    <w:rsid w:val="00DE0156"/>
    <w:rsid w:val="00DE0C2E"/>
    <w:rsid w:val="00DE32BB"/>
    <w:rsid w:val="00DE3C0F"/>
    <w:rsid w:val="00DE7907"/>
    <w:rsid w:val="00DF0A14"/>
    <w:rsid w:val="00DF0EDD"/>
    <w:rsid w:val="00DF5DD3"/>
    <w:rsid w:val="00E03090"/>
    <w:rsid w:val="00E03441"/>
    <w:rsid w:val="00E03798"/>
    <w:rsid w:val="00E110BC"/>
    <w:rsid w:val="00E12E9E"/>
    <w:rsid w:val="00E13003"/>
    <w:rsid w:val="00E20345"/>
    <w:rsid w:val="00E205E9"/>
    <w:rsid w:val="00E25772"/>
    <w:rsid w:val="00E37997"/>
    <w:rsid w:val="00E40ABC"/>
    <w:rsid w:val="00E40DFF"/>
    <w:rsid w:val="00E51D82"/>
    <w:rsid w:val="00E56D38"/>
    <w:rsid w:val="00E6002E"/>
    <w:rsid w:val="00E604CF"/>
    <w:rsid w:val="00E60613"/>
    <w:rsid w:val="00E67B33"/>
    <w:rsid w:val="00E72198"/>
    <w:rsid w:val="00E73355"/>
    <w:rsid w:val="00E7375A"/>
    <w:rsid w:val="00E75339"/>
    <w:rsid w:val="00E762ED"/>
    <w:rsid w:val="00E869A4"/>
    <w:rsid w:val="00E877FF"/>
    <w:rsid w:val="00E94830"/>
    <w:rsid w:val="00E95744"/>
    <w:rsid w:val="00E95F54"/>
    <w:rsid w:val="00E964AB"/>
    <w:rsid w:val="00E96789"/>
    <w:rsid w:val="00E97E5D"/>
    <w:rsid w:val="00EA3560"/>
    <w:rsid w:val="00EA7330"/>
    <w:rsid w:val="00EB5673"/>
    <w:rsid w:val="00EB6991"/>
    <w:rsid w:val="00EB7270"/>
    <w:rsid w:val="00ED6DFF"/>
    <w:rsid w:val="00ED79D7"/>
    <w:rsid w:val="00ED79FB"/>
    <w:rsid w:val="00EE13D1"/>
    <w:rsid w:val="00EF0974"/>
    <w:rsid w:val="00EF4ED3"/>
    <w:rsid w:val="00F00705"/>
    <w:rsid w:val="00F069E1"/>
    <w:rsid w:val="00F07021"/>
    <w:rsid w:val="00F116B1"/>
    <w:rsid w:val="00F16198"/>
    <w:rsid w:val="00F164F8"/>
    <w:rsid w:val="00F220EB"/>
    <w:rsid w:val="00F24E62"/>
    <w:rsid w:val="00F3231D"/>
    <w:rsid w:val="00F4596E"/>
    <w:rsid w:val="00F5063E"/>
    <w:rsid w:val="00F61F94"/>
    <w:rsid w:val="00F67B36"/>
    <w:rsid w:val="00F7264D"/>
    <w:rsid w:val="00F81614"/>
    <w:rsid w:val="00F8196B"/>
    <w:rsid w:val="00F84267"/>
    <w:rsid w:val="00F86C87"/>
    <w:rsid w:val="00F91B90"/>
    <w:rsid w:val="00F925FA"/>
    <w:rsid w:val="00FA6B15"/>
    <w:rsid w:val="00FB031F"/>
    <w:rsid w:val="00FB6368"/>
    <w:rsid w:val="00FB6D7B"/>
    <w:rsid w:val="00FC7AB5"/>
    <w:rsid w:val="00FD0EC8"/>
    <w:rsid w:val="00FD393E"/>
    <w:rsid w:val="00FD419B"/>
    <w:rsid w:val="00FD5922"/>
    <w:rsid w:val="00FE00A8"/>
    <w:rsid w:val="00FE0446"/>
    <w:rsid w:val="00FE4629"/>
    <w:rsid w:val="00FE6F47"/>
    <w:rsid w:val="00FE7485"/>
    <w:rsid w:val="00FF3E4B"/>
    <w:rsid w:val="00FF5970"/>
    <w:rsid w:val="0102628E"/>
    <w:rsid w:val="018E58CE"/>
    <w:rsid w:val="01A051F3"/>
    <w:rsid w:val="01A26771"/>
    <w:rsid w:val="01F176F8"/>
    <w:rsid w:val="036D70E8"/>
    <w:rsid w:val="03934FDA"/>
    <w:rsid w:val="03BE7AAE"/>
    <w:rsid w:val="04073203"/>
    <w:rsid w:val="04442B89"/>
    <w:rsid w:val="052348BA"/>
    <w:rsid w:val="0534627A"/>
    <w:rsid w:val="05531D64"/>
    <w:rsid w:val="06AC0092"/>
    <w:rsid w:val="072A4378"/>
    <w:rsid w:val="07462CA6"/>
    <w:rsid w:val="07746CB3"/>
    <w:rsid w:val="0793427D"/>
    <w:rsid w:val="087350CB"/>
    <w:rsid w:val="08760957"/>
    <w:rsid w:val="0900169B"/>
    <w:rsid w:val="0A043BD9"/>
    <w:rsid w:val="0A14667A"/>
    <w:rsid w:val="0B0266EC"/>
    <w:rsid w:val="0B472A2B"/>
    <w:rsid w:val="0B873C40"/>
    <w:rsid w:val="0C045443"/>
    <w:rsid w:val="0C5E0F0D"/>
    <w:rsid w:val="0D2F5F4E"/>
    <w:rsid w:val="0D703BC7"/>
    <w:rsid w:val="0DA341DC"/>
    <w:rsid w:val="0DC67CBB"/>
    <w:rsid w:val="0E116234"/>
    <w:rsid w:val="0E2C5505"/>
    <w:rsid w:val="0E61431B"/>
    <w:rsid w:val="0EAC65AD"/>
    <w:rsid w:val="0F7B7847"/>
    <w:rsid w:val="0FFA37D6"/>
    <w:rsid w:val="112A0531"/>
    <w:rsid w:val="112D746E"/>
    <w:rsid w:val="11803E64"/>
    <w:rsid w:val="1306440E"/>
    <w:rsid w:val="13103C61"/>
    <w:rsid w:val="1367458F"/>
    <w:rsid w:val="139470CB"/>
    <w:rsid w:val="147E4E1C"/>
    <w:rsid w:val="14A037FB"/>
    <w:rsid w:val="14A405FA"/>
    <w:rsid w:val="14BE790E"/>
    <w:rsid w:val="14D01CF9"/>
    <w:rsid w:val="17207642"/>
    <w:rsid w:val="173B78FB"/>
    <w:rsid w:val="17446D39"/>
    <w:rsid w:val="18D10091"/>
    <w:rsid w:val="18E012D2"/>
    <w:rsid w:val="1A990252"/>
    <w:rsid w:val="1ABB36ED"/>
    <w:rsid w:val="1B097409"/>
    <w:rsid w:val="1B8F01AB"/>
    <w:rsid w:val="1C8B27CB"/>
    <w:rsid w:val="1CB565E1"/>
    <w:rsid w:val="1D6B43AB"/>
    <w:rsid w:val="1F5D41BA"/>
    <w:rsid w:val="1FC55FF4"/>
    <w:rsid w:val="200023C7"/>
    <w:rsid w:val="20277588"/>
    <w:rsid w:val="20391B5F"/>
    <w:rsid w:val="219316BC"/>
    <w:rsid w:val="21D46716"/>
    <w:rsid w:val="220B6ED4"/>
    <w:rsid w:val="223A2D60"/>
    <w:rsid w:val="22407BB4"/>
    <w:rsid w:val="227855A0"/>
    <w:rsid w:val="22883267"/>
    <w:rsid w:val="22E055DB"/>
    <w:rsid w:val="233D0598"/>
    <w:rsid w:val="238E0DF3"/>
    <w:rsid w:val="243463F2"/>
    <w:rsid w:val="245D63CA"/>
    <w:rsid w:val="24DC5C7B"/>
    <w:rsid w:val="26B02E2F"/>
    <w:rsid w:val="271138CD"/>
    <w:rsid w:val="28897B1C"/>
    <w:rsid w:val="28B96D94"/>
    <w:rsid w:val="290850EE"/>
    <w:rsid w:val="29123549"/>
    <w:rsid w:val="29A273A6"/>
    <w:rsid w:val="29B6020A"/>
    <w:rsid w:val="2A222295"/>
    <w:rsid w:val="2A36189D"/>
    <w:rsid w:val="2A7270E6"/>
    <w:rsid w:val="2A905451"/>
    <w:rsid w:val="2AF04BFB"/>
    <w:rsid w:val="2B1C6CE5"/>
    <w:rsid w:val="2C2A4C66"/>
    <w:rsid w:val="2D063AA5"/>
    <w:rsid w:val="2D0E0621"/>
    <w:rsid w:val="2E6609A2"/>
    <w:rsid w:val="2E6C5354"/>
    <w:rsid w:val="2E9021DA"/>
    <w:rsid w:val="2F901C22"/>
    <w:rsid w:val="2FCD34FF"/>
    <w:rsid w:val="2FD32954"/>
    <w:rsid w:val="30E958BB"/>
    <w:rsid w:val="31077AEF"/>
    <w:rsid w:val="31FD73E1"/>
    <w:rsid w:val="32250B75"/>
    <w:rsid w:val="322E69CF"/>
    <w:rsid w:val="32364B30"/>
    <w:rsid w:val="32B13044"/>
    <w:rsid w:val="32D2620A"/>
    <w:rsid w:val="332A30EE"/>
    <w:rsid w:val="33AF6CB8"/>
    <w:rsid w:val="34655258"/>
    <w:rsid w:val="3494768A"/>
    <w:rsid w:val="34AE30AB"/>
    <w:rsid w:val="34E63C9A"/>
    <w:rsid w:val="35145DCF"/>
    <w:rsid w:val="35330690"/>
    <w:rsid w:val="35C67F79"/>
    <w:rsid w:val="35F04FF6"/>
    <w:rsid w:val="36E41CAE"/>
    <w:rsid w:val="37265173"/>
    <w:rsid w:val="37B257FC"/>
    <w:rsid w:val="38A327F3"/>
    <w:rsid w:val="38A61076"/>
    <w:rsid w:val="38BE1AF0"/>
    <w:rsid w:val="3A04304D"/>
    <w:rsid w:val="3A3C666B"/>
    <w:rsid w:val="3B604552"/>
    <w:rsid w:val="3B6B7E20"/>
    <w:rsid w:val="3BBB7E54"/>
    <w:rsid w:val="3BC21CDB"/>
    <w:rsid w:val="3C5847AA"/>
    <w:rsid w:val="3C677BC6"/>
    <w:rsid w:val="3CD44363"/>
    <w:rsid w:val="3D1F0B15"/>
    <w:rsid w:val="3D541E3B"/>
    <w:rsid w:val="3D9D1888"/>
    <w:rsid w:val="3DF02ADC"/>
    <w:rsid w:val="3E603179"/>
    <w:rsid w:val="3E921340"/>
    <w:rsid w:val="3E9D053F"/>
    <w:rsid w:val="3EA3354D"/>
    <w:rsid w:val="4016588C"/>
    <w:rsid w:val="405D772B"/>
    <w:rsid w:val="40986F5A"/>
    <w:rsid w:val="40FB5077"/>
    <w:rsid w:val="41514496"/>
    <w:rsid w:val="42461C3A"/>
    <w:rsid w:val="42AA7589"/>
    <w:rsid w:val="436411A4"/>
    <w:rsid w:val="43ED2073"/>
    <w:rsid w:val="452B2AE3"/>
    <w:rsid w:val="46645722"/>
    <w:rsid w:val="46772AB9"/>
    <w:rsid w:val="46E40852"/>
    <w:rsid w:val="47001BEF"/>
    <w:rsid w:val="47AD08A4"/>
    <w:rsid w:val="48CD674E"/>
    <w:rsid w:val="49CD343F"/>
    <w:rsid w:val="4B237FC3"/>
    <w:rsid w:val="4B3507B0"/>
    <w:rsid w:val="4B816A48"/>
    <w:rsid w:val="4C5315E4"/>
    <w:rsid w:val="4C972C2F"/>
    <w:rsid w:val="4CA960C3"/>
    <w:rsid w:val="4D144003"/>
    <w:rsid w:val="4D950505"/>
    <w:rsid w:val="4EFF657E"/>
    <w:rsid w:val="4F215ECC"/>
    <w:rsid w:val="502B51B5"/>
    <w:rsid w:val="50507626"/>
    <w:rsid w:val="51D02694"/>
    <w:rsid w:val="51F021AD"/>
    <w:rsid w:val="5267488D"/>
    <w:rsid w:val="52C36A6C"/>
    <w:rsid w:val="52E5545A"/>
    <w:rsid w:val="535624E4"/>
    <w:rsid w:val="53822479"/>
    <w:rsid w:val="55132C6D"/>
    <w:rsid w:val="5572765A"/>
    <w:rsid w:val="55920F62"/>
    <w:rsid w:val="55DB1F32"/>
    <w:rsid w:val="56034E35"/>
    <w:rsid w:val="561A34E3"/>
    <w:rsid w:val="57C74619"/>
    <w:rsid w:val="57E12FAD"/>
    <w:rsid w:val="57F263D4"/>
    <w:rsid w:val="58265A4E"/>
    <w:rsid w:val="583E52D1"/>
    <w:rsid w:val="5853793A"/>
    <w:rsid w:val="5859455F"/>
    <w:rsid w:val="5A074538"/>
    <w:rsid w:val="5A125D58"/>
    <w:rsid w:val="5A561DF1"/>
    <w:rsid w:val="5B9D0FA7"/>
    <w:rsid w:val="5C553D45"/>
    <w:rsid w:val="5CD5091E"/>
    <w:rsid w:val="5D5F3DB5"/>
    <w:rsid w:val="5DA87473"/>
    <w:rsid w:val="5E0C02C8"/>
    <w:rsid w:val="5EDF37E5"/>
    <w:rsid w:val="5F795F65"/>
    <w:rsid w:val="5FE7632F"/>
    <w:rsid w:val="60103202"/>
    <w:rsid w:val="60ED547E"/>
    <w:rsid w:val="610C13C4"/>
    <w:rsid w:val="619B0311"/>
    <w:rsid w:val="619B7808"/>
    <w:rsid w:val="621023F8"/>
    <w:rsid w:val="62881B13"/>
    <w:rsid w:val="637A5AFB"/>
    <w:rsid w:val="63F26259"/>
    <w:rsid w:val="64676CFB"/>
    <w:rsid w:val="671826E7"/>
    <w:rsid w:val="67EE7219"/>
    <w:rsid w:val="68301FF7"/>
    <w:rsid w:val="684F6624"/>
    <w:rsid w:val="68C65B7A"/>
    <w:rsid w:val="68D669B3"/>
    <w:rsid w:val="69460BA9"/>
    <w:rsid w:val="69474951"/>
    <w:rsid w:val="694E7A85"/>
    <w:rsid w:val="69820DA4"/>
    <w:rsid w:val="69BB7916"/>
    <w:rsid w:val="6A0B76D2"/>
    <w:rsid w:val="6A931D3B"/>
    <w:rsid w:val="6BA51E03"/>
    <w:rsid w:val="6C89739A"/>
    <w:rsid w:val="6DA40465"/>
    <w:rsid w:val="6DDF784E"/>
    <w:rsid w:val="6E927A16"/>
    <w:rsid w:val="6F3A69AC"/>
    <w:rsid w:val="6F79782E"/>
    <w:rsid w:val="6FA23017"/>
    <w:rsid w:val="714D6347"/>
    <w:rsid w:val="718F452F"/>
    <w:rsid w:val="71C3715D"/>
    <w:rsid w:val="72653539"/>
    <w:rsid w:val="72DD1E82"/>
    <w:rsid w:val="73034D9E"/>
    <w:rsid w:val="733D4061"/>
    <w:rsid w:val="734D1CC2"/>
    <w:rsid w:val="73782B94"/>
    <w:rsid w:val="74873E03"/>
    <w:rsid w:val="756033E5"/>
    <w:rsid w:val="76346B5B"/>
    <w:rsid w:val="764010A6"/>
    <w:rsid w:val="769005D1"/>
    <w:rsid w:val="77811976"/>
    <w:rsid w:val="796317A8"/>
    <w:rsid w:val="79EA2C5F"/>
    <w:rsid w:val="7A551A6B"/>
    <w:rsid w:val="7AFB47C4"/>
    <w:rsid w:val="7B50581C"/>
    <w:rsid w:val="7BB8391B"/>
    <w:rsid w:val="7CB7391D"/>
    <w:rsid w:val="7CF4266C"/>
    <w:rsid w:val="7D5651F5"/>
    <w:rsid w:val="7ECA33CA"/>
    <w:rsid w:val="7F21188E"/>
    <w:rsid w:val="7FAC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4"/>
    <w:qFormat/>
    <w:uiPriority w:val="99"/>
    <w:rPr>
      <w:rFonts w:ascii="宋体" w:hAnsi="Courier New" w:cs="宋体"/>
    </w:rPr>
  </w:style>
  <w:style w:type="paragraph" w:styleId="3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4">
    <w:name w:val="endnote text"/>
    <w:basedOn w:val="1"/>
    <w:link w:val="17"/>
    <w:semiHidden/>
    <w:unhideWhenUsed/>
    <w:qFormat/>
    <w:uiPriority w:val="99"/>
    <w:pPr>
      <w:snapToGrid w:val="0"/>
      <w:jc w:val="left"/>
    </w:pPr>
  </w:style>
  <w:style w:type="paragraph" w:styleId="5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10">
    <w:name w:val="endnote reference"/>
    <w:basedOn w:val="9"/>
    <w:semiHidden/>
    <w:unhideWhenUsed/>
    <w:qFormat/>
    <w:uiPriority w:val="99"/>
    <w:rPr>
      <w:vertAlign w:val="superscript"/>
    </w:rPr>
  </w:style>
  <w:style w:type="character" w:customStyle="1" w:styleId="11">
    <w:name w:val="页眉 Char"/>
    <w:basedOn w:val="9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6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纯文本 Char"/>
    <w:basedOn w:val="9"/>
    <w:link w:val="2"/>
    <w:qFormat/>
    <w:uiPriority w:val="99"/>
    <w:rPr>
      <w:rFonts w:ascii="宋体" w:hAnsi="Courier New" w:eastAsia="宋体" w:cs="宋体"/>
      <w:szCs w:val="21"/>
    </w:rPr>
  </w:style>
  <w:style w:type="character" w:customStyle="1" w:styleId="15">
    <w:name w:val="批注框文本 Char"/>
    <w:basedOn w:val="9"/>
    <w:link w:val="5"/>
    <w:semiHidden/>
    <w:qFormat/>
    <w:uiPriority w:val="99"/>
    <w:rPr>
      <w:rFonts w:ascii="Calibri" w:hAnsi="Calibri" w:eastAsia="宋体" w:cs="Calibri"/>
      <w:sz w:val="18"/>
      <w:szCs w:val="18"/>
    </w:rPr>
  </w:style>
  <w:style w:type="character" w:customStyle="1" w:styleId="16">
    <w:name w:val="日期 Char"/>
    <w:basedOn w:val="9"/>
    <w:link w:val="3"/>
    <w:semiHidden/>
    <w:qFormat/>
    <w:uiPriority w:val="99"/>
    <w:rPr>
      <w:rFonts w:ascii="Calibri" w:hAnsi="Calibri" w:eastAsia="宋体" w:cs="Calibri"/>
      <w:szCs w:val="21"/>
    </w:rPr>
  </w:style>
  <w:style w:type="character" w:customStyle="1" w:styleId="17">
    <w:name w:val="尾注文本 Char"/>
    <w:basedOn w:val="9"/>
    <w:link w:val="4"/>
    <w:semiHidden/>
    <w:qFormat/>
    <w:uiPriority w:val="99"/>
    <w:rPr>
      <w:rFonts w:ascii="Calibri" w:hAnsi="Calibri" w:eastAsia="宋体" w:cs="Calibri"/>
      <w:kern w:val="2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2.xml"/><Relationship Id="rId8" Type="http://schemas.openxmlformats.org/officeDocument/2006/relationships/chart" Target="charts/chart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chart" Target="charts/chart5.xml"/><Relationship Id="rId11" Type="http://schemas.openxmlformats.org/officeDocument/2006/relationships/chart" Target="charts/chart4.xml"/><Relationship Id="rId10" Type="http://schemas.openxmlformats.org/officeDocument/2006/relationships/chart" Target="charts/chart3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7946;&#33635;&#21451;\&#32508;&#21512;\&#20844;&#25253;\2025\2025&#20844;&#25253;&#22270;&#34920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7946;&#33635;&#21451;\&#32508;&#21512;\&#20844;&#25253;\2025\2025&#20844;&#25253;&#22270;&#3492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7946;&#33635;&#21451;\&#32508;&#21512;\&#20844;&#25253;\2025\2025&#20844;&#25253;&#22270;&#34920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7946;&#33635;&#21451;\&#32508;&#21512;\&#20844;&#25253;\2025\2025&#20844;&#25253;&#22270;&#34920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D:\&#27946;&#33635;&#21451;\&#32508;&#21512;\&#20844;&#25253;\2025\2025&#20844;&#25253;&#22270;&#3492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7067760896085"/>
          <c:y val="0.0823428520367293"/>
          <c:w val="0.705242504898155"/>
          <c:h val="0.8336496621633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[2025公报图表.xlsx]Sheet1!$A$36</c:f>
              <c:strCache>
                <c:ptCount val="1"/>
                <c:pt idx="0">
                  <c:v>地方一般公共预算收入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[2025公报图表.xlsx]Sheet1!$E$35:$I$35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[2025公报图表.xlsx]Sheet1!$E$36:$I$36</c:f>
              <c:numCache>
                <c:formatCode>General</c:formatCode>
                <c:ptCount val="5"/>
                <c:pt idx="0">
                  <c:v>10.48</c:v>
                </c:pt>
                <c:pt idx="1">
                  <c:v>10.58</c:v>
                </c:pt>
                <c:pt idx="2">
                  <c:v>11.16</c:v>
                </c:pt>
                <c:pt idx="3">
                  <c:v>11.16</c:v>
                </c:pt>
                <c:pt idx="4">
                  <c:v>11.72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3800576"/>
        <c:axId val="143826944"/>
      </c:barChart>
      <c:lineChart>
        <c:grouping val="standard"/>
        <c:varyColors val="0"/>
        <c:ser>
          <c:idx val="1"/>
          <c:order val="1"/>
          <c:tx>
            <c:strRef>
              <c:f>[2025公报图表.xlsx]Sheet1!$A$37</c:f>
              <c:strCache>
                <c:ptCount val="1"/>
                <c:pt idx="0">
                  <c:v>比上年增长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[2025公报图表.xlsx]Sheet1!$E$35:$I$35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[2025公报图表.xlsx]Sheet1!$E$37:$I$37</c:f>
              <c:numCache>
                <c:formatCode>0.0_ </c:formatCode>
                <c:ptCount val="5"/>
                <c:pt idx="0">
                  <c:v>0.2</c:v>
                </c:pt>
                <c:pt idx="1">
                  <c:v>0.9</c:v>
                </c:pt>
                <c:pt idx="2">
                  <c:v>5.5</c:v>
                </c:pt>
                <c:pt idx="3">
                  <c:v>0.02</c:v>
                </c:pt>
                <c:pt idx="4">
                  <c:v>5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3828864"/>
        <c:axId val="143830400"/>
      </c:lineChart>
      <c:catAx>
        <c:axId val="143800576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826944"/>
        <c:crosses val="autoZero"/>
        <c:auto val="1"/>
        <c:lblAlgn val="ctr"/>
        <c:lblOffset val="100"/>
        <c:noMultiLvlLbl val="0"/>
      </c:catAx>
      <c:valAx>
        <c:axId val="143826944"/>
        <c:scaling>
          <c:orientation val="minMax"/>
          <c:max val="12.1"/>
          <c:min val="8"/>
        </c:scaling>
        <c:delete val="0"/>
        <c:axPos val="l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亿元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0657276995305164"/>
              <c:y val="0.000800767494275752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800576"/>
        <c:crosses val="autoZero"/>
        <c:crossBetween val="between"/>
        <c:majorUnit val="0.5"/>
      </c:valAx>
      <c:catAx>
        <c:axId val="143828864"/>
        <c:scaling>
          <c:orientation val="minMax"/>
        </c:scaling>
        <c:delete val="1"/>
        <c:axPos val="b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830400"/>
        <c:crosses val="autoZero"/>
        <c:auto val="1"/>
        <c:lblAlgn val="ctr"/>
        <c:lblOffset val="100"/>
        <c:noMultiLvlLbl val="0"/>
      </c:catAx>
      <c:valAx>
        <c:axId val="143830400"/>
        <c:scaling>
          <c:orientation val="minMax"/>
          <c:max val="12"/>
          <c:min val="-4"/>
        </c:scaling>
        <c:delete val="0"/>
        <c:axPos val="r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 baseline="0"/>
                  <a:t>%</a:t>
                </a:r>
                <a:endParaRPr lang="zh-CN" altLang="en-US" sz="1200" baseline="0"/>
              </a:p>
            </c:rich>
          </c:tx>
          <c:layout>
            <c:manualLayout>
              <c:xMode val="edge"/>
              <c:yMode val="edge"/>
              <c:x val="0.922535211267606"/>
              <c:y val="0.0370009666086985"/>
            </c:manualLayout>
          </c:layout>
          <c:overlay val="0"/>
        </c:title>
        <c:numFmt formatCode="#,##0_ 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828864"/>
        <c:crosses val="max"/>
        <c:crossBetween val="between"/>
        <c:majorUnit val="2"/>
      </c:valAx>
    </c:plotArea>
    <c:legend>
      <c:legendPos val="r"/>
      <c:layout>
        <c:manualLayout>
          <c:xMode val="edge"/>
          <c:yMode val="edge"/>
          <c:x val="0.158485958485958"/>
          <c:y val="0.0150264550264551"/>
          <c:w val="0.334188034188034"/>
          <c:h val="0.153015873015873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898cd60b-de3f-4f4d-bbf9-6ca6c5dc3ddf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7405074365704"/>
          <c:y val="0.0838079615048119"/>
          <c:w val="0.770372703412074"/>
          <c:h val="0.768754009915427"/>
        </c:manualLayout>
      </c:layout>
      <c:lineChart>
        <c:grouping val="standard"/>
        <c:varyColors val="0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[2025公报图表.xlsx]Sheet1!$D$128:$H$128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[2025公报图表.xlsx]Sheet1!$D$129:$H$129</c:f>
              <c:numCache>
                <c:formatCode>0.0</c:formatCode>
                <c:ptCount val="5"/>
                <c:pt idx="0">
                  <c:v>3.9</c:v>
                </c:pt>
                <c:pt idx="1" c:formatCode="General">
                  <c:v>3.4</c:v>
                </c:pt>
                <c:pt idx="2" c:formatCode="General">
                  <c:v>0.7</c:v>
                </c:pt>
                <c:pt idx="3" c:formatCode="General">
                  <c:v>6.7</c:v>
                </c:pt>
                <c:pt idx="4" c:formatCode="General">
                  <c:v>8.1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3678080"/>
        <c:axId val="143692160"/>
      </c:lineChart>
      <c:catAx>
        <c:axId val="14367808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692160"/>
        <c:crosses val="autoZero"/>
        <c:auto val="1"/>
        <c:lblAlgn val="ctr"/>
        <c:lblOffset val="100"/>
        <c:noMultiLvlLbl val="0"/>
      </c:catAx>
      <c:valAx>
        <c:axId val="143692160"/>
        <c:scaling>
          <c:orientation val="minMax"/>
        </c:scaling>
        <c:delete val="0"/>
        <c:axPos val="l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 baseline="0"/>
                  <a:t>%</a:t>
                </a:r>
                <a:endParaRPr lang="zh-CN" altLang="en-US" sz="1200" baseline="0"/>
              </a:p>
            </c:rich>
          </c:tx>
          <c:layout>
            <c:manualLayout>
              <c:xMode val="edge"/>
              <c:yMode val="edge"/>
              <c:x val="0.0194444444444444"/>
              <c:y val="0.0214257072032663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678080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ba6942a5-0092-4471-82ac-74040b718601}"/>
      </c:ext>
    </c:extLst>
  </c:chart>
  <c:spPr>
    <a:ln w="9525" cap="flat" cmpd="sng" algn="ctr">
      <a:noFill/>
      <a:prstDash val="solid"/>
      <a:round/>
    </a:ln>
  </c:spPr>
  <c:txPr>
    <a:bodyPr rot="0" anchor="ctr" anchorCtr="1"/>
    <a:lstStyle/>
    <a:p>
      <a:pPr>
        <a:defRPr lang="zh-CN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7405074365704"/>
          <c:y val="0.0838079615048119"/>
          <c:w val="0.770372703412074"/>
          <c:h val="0.768754009915427"/>
        </c:manualLayout>
      </c:layout>
      <c:lineChart>
        <c:grouping val="standard"/>
        <c:varyColors val="0"/>
        <c:ser>
          <c:idx val="0"/>
          <c:order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[2025公报图表.xlsx]Sheet1!$D$45:$H$45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[2025公报图表.xlsx]Sheet1!$D$46:$H$46</c:f>
              <c:numCache>
                <c:formatCode>0.0_ </c:formatCode>
                <c:ptCount val="5"/>
                <c:pt idx="0">
                  <c:v>18</c:v>
                </c:pt>
                <c:pt idx="1" c:formatCode="General">
                  <c:v>17.4</c:v>
                </c:pt>
                <c:pt idx="2" c:formatCode="General">
                  <c:v>24.1</c:v>
                </c:pt>
                <c:pt idx="3" c:formatCode="General">
                  <c:v>10.1</c:v>
                </c:pt>
                <c:pt idx="4" c:formatCode="General">
                  <c:v>-14.4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7222400"/>
        <c:axId val="137232384"/>
      </c:lineChart>
      <c:catAx>
        <c:axId val="137222400"/>
        <c:scaling>
          <c:orientation val="minMax"/>
        </c:scaling>
        <c:delete val="0"/>
        <c:axPos val="b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232384"/>
        <c:crosses val="autoZero"/>
        <c:auto val="1"/>
        <c:lblAlgn val="ctr"/>
        <c:lblOffset val="100"/>
        <c:noMultiLvlLbl val="0"/>
      </c:catAx>
      <c:valAx>
        <c:axId val="137232384"/>
        <c:scaling>
          <c:orientation val="minMax"/>
        </c:scaling>
        <c:delete val="0"/>
        <c:axPos val="l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 baseline="0"/>
                  <a:t>%</a:t>
                </a:r>
                <a:endParaRPr lang="zh-CN" altLang="en-US" sz="1200" baseline="0"/>
              </a:p>
            </c:rich>
          </c:tx>
          <c:layout>
            <c:manualLayout>
              <c:xMode val="edge"/>
              <c:yMode val="edge"/>
              <c:x val="0.0194444444444444"/>
              <c:y val="0.0214257072032663"/>
            </c:manualLayout>
          </c:layout>
          <c:overlay val="0"/>
        </c:title>
        <c:numFmt formatCode="0.0_ 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222400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5507e6ae-241e-49b1-b570-1e231bb68f04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47067760896085"/>
          <c:y val="0.0823428520367293"/>
          <c:w val="0.705242504898155"/>
          <c:h val="0.8336496621633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[2025公报图表.xlsx]Sheet1!$A$70</c:f>
              <c:strCache>
                <c:ptCount val="1"/>
                <c:pt idx="0">
                  <c:v>社会消费品零售总额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[2025公报图表.xlsx]Sheet1!$E$69:$I$69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[2025公报图表.xlsx]Sheet1!$E$70:$I$70</c:f>
              <c:numCache>
                <c:formatCode>0.00</c:formatCode>
                <c:ptCount val="5"/>
                <c:pt idx="0">
                  <c:v>98.63</c:v>
                </c:pt>
                <c:pt idx="1">
                  <c:v>100.93</c:v>
                </c:pt>
                <c:pt idx="2">
                  <c:v>103.16</c:v>
                </c:pt>
                <c:pt idx="3" c:formatCode="General">
                  <c:v>106.33</c:v>
                </c:pt>
                <c:pt idx="4" c:formatCode="General">
                  <c:v>112.96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271168"/>
        <c:axId val="137272704"/>
      </c:barChart>
      <c:lineChart>
        <c:grouping val="standard"/>
        <c:varyColors val="0"/>
        <c:ser>
          <c:idx val="1"/>
          <c:order val="1"/>
          <c:tx>
            <c:strRef>
              <c:f>[2025公报图表.xlsx]Sheet1!$A$71</c:f>
              <c:strCache>
                <c:ptCount val="1"/>
                <c:pt idx="0">
                  <c:v>比上年增长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[2025公报图表.xlsx]Sheet1!$E$69:$I$69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[2025公报图表.xlsx]Sheet1!$E$71:$I$71</c:f>
              <c:numCache>
                <c:formatCode>0.0</c:formatCode>
                <c:ptCount val="5"/>
                <c:pt idx="0">
                  <c:v>7.5</c:v>
                </c:pt>
                <c:pt idx="1">
                  <c:v>2.3</c:v>
                </c:pt>
                <c:pt idx="2">
                  <c:v>2.2</c:v>
                </c:pt>
                <c:pt idx="3" c:formatCode="General">
                  <c:v>3.1</c:v>
                </c:pt>
                <c:pt idx="4" c:formatCode="General">
                  <c:v>6.2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7295360"/>
        <c:axId val="137296896"/>
      </c:lineChart>
      <c:catAx>
        <c:axId val="137271168"/>
        <c:scaling>
          <c:orientation val="minMax"/>
        </c:scaling>
        <c:delete val="0"/>
        <c:axPos val="b"/>
        <c:numFmt formatCode="0.0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272704"/>
        <c:crosses val="autoZero"/>
        <c:auto val="1"/>
        <c:lblAlgn val="ctr"/>
        <c:lblOffset val="100"/>
        <c:noMultiLvlLbl val="0"/>
      </c:catAx>
      <c:valAx>
        <c:axId val="137272704"/>
        <c:scaling>
          <c:orientation val="minMax"/>
          <c:max val="122"/>
          <c:min val="50"/>
        </c:scaling>
        <c:delete val="0"/>
        <c:axPos val="l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亿元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0657276995305164"/>
              <c:y val="0.000800767494275752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271168"/>
        <c:crosses val="autoZero"/>
        <c:crossBetween val="between"/>
      </c:valAx>
      <c:catAx>
        <c:axId val="137295360"/>
        <c:scaling>
          <c:orientation val="minMax"/>
        </c:scaling>
        <c:delete val="1"/>
        <c:axPos val="b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296896"/>
        <c:crosses val="autoZero"/>
        <c:auto val="1"/>
        <c:lblAlgn val="ctr"/>
        <c:lblOffset val="100"/>
        <c:noMultiLvlLbl val="0"/>
      </c:catAx>
      <c:valAx>
        <c:axId val="137296896"/>
        <c:scaling>
          <c:orientation val="minMax"/>
          <c:max val="18"/>
          <c:min val="0"/>
        </c:scaling>
        <c:delete val="0"/>
        <c:axPos val="r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 baseline="0"/>
                  <a:t>%</a:t>
                </a:r>
                <a:endParaRPr lang="zh-CN" altLang="en-US" sz="1200" baseline="0"/>
              </a:p>
            </c:rich>
          </c:tx>
          <c:layout>
            <c:manualLayout>
              <c:xMode val="edge"/>
              <c:yMode val="edge"/>
              <c:x val="0.922535211267606"/>
              <c:y val="0.0370009666086985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295360"/>
        <c:crosses val="max"/>
        <c:crossBetween val="between"/>
      </c:valAx>
    </c:plotArea>
    <c:legend>
      <c:legendPos val="l"/>
      <c:layout>
        <c:manualLayout>
          <c:xMode val="edge"/>
          <c:yMode val="edge"/>
          <c:x val="0.176056338028169"/>
          <c:y val="0.0184644258734354"/>
          <c:w val="0.277296360485269"/>
          <c:h val="0.145025848870073"/>
        </c:manualLayout>
      </c:layout>
      <c:overlay val="1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75b671d7-4920-4552-9a51-c135d488d533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0534365934218"/>
          <c:y val="0.0749125997175541"/>
          <c:w val="0.705242504898155"/>
          <c:h val="0.83364966216333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[2025公报图表.xlsx]Sheet1!$A$99</c:f>
              <c:strCache>
                <c:ptCount val="1"/>
                <c:pt idx="0">
                  <c:v>全区居民人均可支配收入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[2025公报图表.xlsx]Sheet1!$E$98:$I$98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[2025公报图表.xlsx]Sheet1!$E$99:$I$99</c:f>
              <c:numCache>
                <c:formatCode>General</c:formatCode>
                <c:ptCount val="5"/>
                <c:pt idx="0">
                  <c:v>36011</c:v>
                </c:pt>
                <c:pt idx="1">
                  <c:v>38126</c:v>
                </c:pt>
                <c:pt idx="2">
                  <c:v>40537</c:v>
                </c:pt>
                <c:pt idx="3">
                  <c:v>42619</c:v>
                </c:pt>
                <c:pt idx="4">
                  <c:v>44678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7344512"/>
        <c:axId val="137346048"/>
      </c:barChart>
      <c:lineChart>
        <c:grouping val="standard"/>
        <c:varyColors val="0"/>
        <c:ser>
          <c:idx val="1"/>
          <c:order val="1"/>
          <c:tx>
            <c:strRef>
              <c:f>[2025公报图表.xlsx]Sheet1!$A$100</c:f>
              <c:strCache>
                <c:ptCount val="1"/>
                <c:pt idx="0">
                  <c:v>比上年增长</c:v>
                </c:pt>
              </c:strCache>
            </c:strRef>
          </c:tx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[2025公报图表.xlsx]Sheet1!$E$98:$I$98</c:f>
              <c:strCache>
                <c:ptCount val="5"/>
                <c:pt idx="0">
                  <c:v>2021年</c:v>
                </c:pt>
                <c:pt idx="1">
                  <c:v>2022年</c:v>
                </c:pt>
                <c:pt idx="2">
                  <c:v>2023年</c:v>
                </c:pt>
                <c:pt idx="3">
                  <c:v>2024年</c:v>
                </c:pt>
                <c:pt idx="4">
                  <c:v>2025年</c:v>
                </c:pt>
              </c:strCache>
            </c:strRef>
          </c:cat>
          <c:val>
            <c:numRef>
              <c:f>[2025公报图表.xlsx]Sheet1!$E$100:$I$100</c:f>
              <c:numCache>
                <c:formatCode>General</c:formatCode>
                <c:ptCount val="5"/>
                <c:pt idx="0">
                  <c:v>9.2</c:v>
                </c:pt>
                <c:pt idx="1">
                  <c:v>5.9</c:v>
                </c:pt>
                <c:pt idx="2">
                  <c:v>6.3</c:v>
                </c:pt>
                <c:pt idx="3">
                  <c:v>5.1</c:v>
                </c:pt>
                <c:pt idx="4">
                  <c:v>4.8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3660160"/>
        <c:axId val="143661696"/>
      </c:lineChart>
      <c:catAx>
        <c:axId val="137344512"/>
        <c:scaling>
          <c:orientation val="minMax"/>
        </c:scaling>
        <c:delete val="0"/>
        <c:axPos val="b"/>
        <c:numFmt formatCode="0.00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346048"/>
        <c:crosses val="autoZero"/>
        <c:auto val="1"/>
        <c:lblAlgn val="ctr"/>
        <c:lblOffset val="100"/>
        <c:noMultiLvlLbl val="0"/>
      </c:catAx>
      <c:valAx>
        <c:axId val="137346048"/>
        <c:scaling>
          <c:orientation val="minMax"/>
        </c:scaling>
        <c:delete val="0"/>
        <c:axPos val="l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zh-CN" altLang="en-US"/>
                  <a:t>元</a:t>
                </a:r>
                <a:endParaRPr lang="zh-CN" altLang="en-US"/>
              </a:p>
            </c:rich>
          </c:tx>
          <c:layout>
            <c:manualLayout>
              <c:xMode val="edge"/>
              <c:yMode val="edge"/>
              <c:x val="0.0657276995305164"/>
              <c:y val="0.000800767494275752"/>
            </c:manualLayout>
          </c:layout>
          <c:overlay val="0"/>
        </c:title>
        <c:numFmt formatCode="General" sourceLinked="0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7344512"/>
        <c:crosses val="autoZero"/>
        <c:crossBetween val="between"/>
      </c:valAx>
      <c:catAx>
        <c:axId val="143660160"/>
        <c:scaling>
          <c:orientation val="minMax"/>
        </c:scaling>
        <c:delete val="1"/>
        <c:axPos val="b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661696"/>
        <c:crosses val="autoZero"/>
        <c:auto val="1"/>
        <c:lblAlgn val="ctr"/>
        <c:lblOffset val="100"/>
        <c:noMultiLvlLbl val="0"/>
      </c:catAx>
      <c:valAx>
        <c:axId val="143661696"/>
        <c:scaling>
          <c:orientation val="minMax"/>
          <c:max val="16"/>
          <c:min val="0"/>
        </c:scaling>
        <c:delete val="0"/>
        <c:axPos val="r"/>
        <c:title>
          <c:tx>
            <c:rich>
              <a:bodyPr rot="0" spcFirstLastPara="0" vertOverflow="ellipsis" vert="horz" wrap="square" anchor="ctr" anchorCtr="1"/>
              <a:lstStyle/>
              <a:p>
                <a:pPr>
                  <a:defRPr lang="zh-CN" sz="12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altLang="zh-CN" sz="1200" baseline="0"/>
                  <a:t>%</a:t>
                </a:r>
                <a:endParaRPr lang="zh-CN" altLang="en-US" sz="1200" baseline="0"/>
              </a:p>
            </c:rich>
          </c:tx>
          <c:layout>
            <c:manualLayout>
              <c:xMode val="edge"/>
              <c:yMode val="edge"/>
              <c:x val="0.922535211267606"/>
              <c:y val="0.037000966608698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43660160"/>
        <c:crosses val="max"/>
        <c:crossBetween val="between"/>
      </c:valAx>
    </c:plotArea>
    <c:legend>
      <c:legendPos val="l"/>
      <c:layout>
        <c:manualLayout>
          <c:xMode val="edge"/>
          <c:yMode val="edge"/>
          <c:x val="0.169014084507042"/>
          <c:y val="0.0425245724508796"/>
          <c:w val="0.323512420566147"/>
          <c:h val="0.145025848870073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zh-CN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684861dd-0eb3-47f0-8626-77ad8f7561e6}"/>
      </c:ext>
    </c:extLst>
  </c:chart>
  <c:spPr>
    <a:ln w="9525" cap="flat" cmpd="sng" algn="ctr">
      <a:noFill/>
      <a:prstDash val="solid"/>
      <a:round/>
    </a:ln>
  </c:spPr>
  <c:txPr>
    <a:bodyPr/>
    <a:lstStyle/>
    <a:p>
      <a:pPr>
        <a:defRPr lang="zh-CN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FDDF5-6B22-46D7-A20C-D848B11102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15</Pages>
  <Words>4733</Words>
  <Characters>5920</Characters>
  <Lines>42</Lines>
  <Paragraphs>12</Paragraphs>
  <TotalTime>62</TotalTime>
  <ScaleCrop>false</ScaleCrop>
  <LinksUpToDate>false</LinksUpToDate>
  <CharactersWithSpaces>6000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2021-03-01T00:51:00Z</dcterms:created>
  <dc:creator>微软用户</dc:creator>
  <cp:lastModifiedBy>WPS_432860282</cp:lastModifiedBy>
  <cp:lastPrinted>2024-03-27T00:50:00Z</cp:lastPrinted>
  <dcterms:modified xsi:type="dcterms:W3CDTF">2026-09-18T07:41:57Z</dcterms:modified>
  <cp:revision>900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3A11010CBE294406A32223AC164B3CCC_13</vt:lpwstr>
  </property>
  <property fmtid="{D5CDD505-2E9C-101B-9397-08002B2CF9AE}" pid="4" name="KSOTemplateDocerSaveRecord">
    <vt:lpwstr>eyJoZGlkIjoiYThmOWMzYmVmMTZkNGFjMDhjZGI5YmM3Zjg5NzdiZGEiLCJ1c2VySWQiOiI0MzI4NjAyODIifQ==</vt:lpwstr>
  </property>
</Properties>
</file>