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方正小标宋简体"/>
          <w:sz w:val="42"/>
          <w:szCs w:val="42"/>
        </w:rPr>
      </w:pPr>
      <w:r>
        <w:rPr>
          <w:rFonts w:eastAsia="方正小标宋简体"/>
          <w:sz w:val="42"/>
          <w:szCs w:val="42"/>
        </w:rPr>
        <w:t>关于</w:t>
      </w:r>
      <w:r>
        <w:rPr>
          <w:rFonts w:hint="eastAsia" w:eastAsia="方正小标宋简体"/>
          <w:sz w:val="42"/>
          <w:szCs w:val="42"/>
        </w:rPr>
        <w:t>三明市</w:t>
      </w:r>
      <w:r>
        <w:rPr>
          <w:rFonts w:eastAsia="方正小标宋简体"/>
          <w:sz w:val="42"/>
          <w:szCs w:val="42"/>
        </w:rPr>
        <w:t>沙县</w:t>
      </w:r>
      <w:r>
        <w:rPr>
          <w:rFonts w:hint="eastAsia" w:eastAsia="方正小标宋简体"/>
          <w:sz w:val="42"/>
          <w:szCs w:val="42"/>
        </w:rPr>
        <w:t>区</w:t>
      </w:r>
      <w:r>
        <w:rPr>
          <w:rFonts w:eastAsia="方正小标宋简体"/>
          <w:sz w:val="42"/>
          <w:szCs w:val="42"/>
        </w:rPr>
        <w:t>20</w:t>
      </w:r>
      <w:r>
        <w:rPr>
          <w:rFonts w:hint="eastAsia" w:eastAsia="方正小标宋简体"/>
          <w:sz w:val="42"/>
          <w:szCs w:val="42"/>
        </w:rPr>
        <w:t>24</w:t>
      </w:r>
      <w:r>
        <w:rPr>
          <w:rFonts w:eastAsia="方正小标宋简体"/>
          <w:sz w:val="42"/>
          <w:szCs w:val="42"/>
        </w:rPr>
        <w:t>年决算草案情况的报告</w:t>
      </w:r>
    </w:p>
    <w:p>
      <w:pPr>
        <w:jc w:val="center"/>
        <w:rPr>
          <w:rFonts w:eastAsia="方正楷体简体"/>
          <w:spacing w:val="-12"/>
          <w:w w:val="90"/>
          <w:szCs w:val="30"/>
        </w:rPr>
      </w:pPr>
      <w:r>
        <w:rPr>
          <w:rFonts w:eastAsia="方正楷体简体"/>
          <w:b/>
          <w:bCs/>
          <w:spacing w:val="1"/>
          <w:w w:val="86"/>
          <w:kern w:val="0"/>
          <w:sz w:val="30"/>
          <w:szCs w:val="30"/>
          <w:fitText w:val="9010" w:id="-942400000"/>
        </w:rPr>
        <w:t>——</w:t>
      </w:r>
      <w:r>
        <w:rPr>
          <w:rFonts w:eastAsia="方正楷体简体"/>
          <w:spacing w:val="1"/>
          <w:w w:val="86"/>
          <w:kern w:val="0"/>
          <w:szCs w:val="30"/>
          <w:fitText w:val="9010" w:id="-942400000"/>
        </w:rPr>
        <w:t>202</w:t>
      </w:r>
      <w:r>
        <w:rPr>
          <w:rFonts w:hint="eastAsia" w:eastAsia="方正楷体简体"/>
          <w:spacing w:val="1"/>
          <w:w w:val="86"/>
          <w:kern w:val="0"/>
          <w:szCs w:val="30"/>
          <w:fitText w:val="9010" w:id="-942400000"/>
        </w:rPr>
        <w:t>5</w:t>
      </w:r>
      <w:r>
        <w:rPr>
          <w:rFonts w:eastAsia="方正楷体简体"/>
          <w:spacing w:val="1"/>
          <w:w w:val="86"/>
          <w:kern w:val="0"/>
          <w:szCs w:val="30"/>
          <w:fitText w:val="9010" w:id="-942400000"/>
        </w:rPr>
        <w:t>年</w:t>
      </w:r>
      <w:r>
        <w:rPr>
          <w:rFonts w:hint="eastAsia" w:eastAsia="方正楷体简体"/>
          <w:spacing w:val="1"/>
          <w:w w:val="86"/>
          <w:kern w:val="0"/>
          <w:szCs w:val="30"/>
          <w:fitText w:val="9010" w:id="-942400000"/>
        </w:rPr>
        <w:t>7</w:t>
      </w:r>
      <w:r>
        <w:rPr>
          <w:rFonts w:eastAsia="方正楷体简体"/>
          <w:spacing w:val="1"/>
          <w:w w:val="86"/>
          <w:kern w:val="0"/>
          <w:szCs w:val="30"/>
          <w:fitText w:val="9010" w:id="-942400000"/>
        </w:rPr>
        <w:t>月</w:t>
      </w:r>
      <w:r>
        <w:rPr>
          <w:rFonts w:hint="eastAsia" w:eastAsia="方正楷体简体"/>
          <w:spacing w:val="1"/>
          <w:w w:val="86"/>
          <w:kern w:val="0"/>
          <w:szCs w:val="30"/>
          <w:fitText w:val="9010" w:id="-942400000"/>
        </w:rPr>
        <w:t>30</w:t>
      </w:r>
      <w:r>
        <w:rPr>
          <w:rFonts w:eastAsia="方正楷体简体"/>
          <w:spacing w:val="1"/>
          <w:w w:val="86"/>
          <w:kern w:val="0"/>
          <w:szCs w:val="30"/>
          <w:fitText w:val="9010" w:id="-942400000"/>
        </w:rPr>
        <w:t>日在三明市沙县区十八届人大常委会第</w:t>
      </w:r>
      <w:r>
        <w:rPr>
          <w:rFonts w:hint="eastAsia" w:eastAsia="方正楷体简体"/>
          <w:spacing w:val="1"/>
          <w:w w:val="86"/>
          <w:kern w:val="0"/>
          <w:szCs w:val="30"/>
          <w:fitText w:val="9010" w:id="-942400000"/>
        </w:rPr>
        <w:t>二十七</w:t>
      </w:r>
      <w:r>
        <w:rPr>
          <w:rFonts w:eastAsia="方正楷体简体"/>
          <w:spacing w:val="1"/>
          <w:w w:val="86"/>
          <w:kern w:val="0"/>
          <w:szCs w:val="30"/>
          <w:fitText w:val="9010" w:id="-942400000"/>
        </w:rPr>
        <w:t>次会议</w:t>
      </w:r>
      <w:r>
        <w:rPr>
          <w:rFonts w:eastAsia="方正楷体简体"/>
          <w:spacing w:val="-11"/>
          <w:w w:val="86"/>
          <w:kern w:val="0"/>
          <w:szCs w:val="30"/>
          <w:fitText w:val="9010" w:id="-942400000"/>
        </w:rPr>
        <w:t>上</w:t>
      </w:r>
    </w:p>
    <w:p>
      <w:pPr>
        <w:jc w:val="center"/>
        <w:rPr>
          <w:rFonts w:eastAsia="方正楷体简体"/>
          <w:szCs w:val="30"/>
        </w:rPr>
      </w:pPr>
      <w:r>
        <w:rPr>
          <w:rFonts w:eastAsia="方正楷体简体"/>
          <w:szCs w:val="30"/>
        </w:rPr>
        <w:t xml:space="preserve">三明市沙县区财政局局长  </w:t>
      </w:r>
      <w:r>
        <w:rPr>
          <w:rFonts w:hint="eastAsia" w:eastAsia="方正楷体简体"/>
          <w:szCs w:val="30"/>
        </w:rPr>
        <w:t>张水英</w:t>
      </w:r>
    </w:p>
    <w:p>
      <w:pPr>
        <w:rPr>
          <w:rFonts w:eastAsia="仿宋_GB2312"/>
          <w:color w:val="FF0000"/>
          <w:szCs w:val="32"/>
        </w:rPr>
      </w:pPr>
    </w:p>
    <w:p>
      <w:pPr>
        <w:spacing w:line="600" w:lineRule="exact"/>
        <w:rPr>
          <w:rFonts w:eastAsia="仿宋_GB2312"/>
          <w:szCs w:val="32"/>
        </w:rPr>
      </w:pPr>
      <w:r>
        <w:rPr>
          <w:rFonts w:eastAsia="仿宋_GB2312"/>
          <w:szCs w:val="32"/>
        </w:rPr>
        <w:t>主任、各位副主任、各位委员：</w:t>
      </w:r>
    </w:p>
    <w:p>
      <w:pPr>
        <w:spacing w:line="600" w:lineRule="exact"/>
        <w:ind w:firstLine="609" w:firstLineChars="195"/>
        <w:rPr>
          <w:rFonts w:eastAsia="仿宋_GB2312"/>
          <w:szCs w:val="32"/>
        </w:rPr>
      </w:pPr>
      <w:r>
        <w:rPr>
          <w:rFonts w:hint="eastAsia" w:eastAsia="仿宋_GB2312"/>
          <w:szCs w:val="32"/>
        </w:rPr>
        <w:t>我</w:t>
      </w:r>
      <w:r>
        <w:rPr>
          <w:rFonts w:eastAsia="仿宋_GB2312"/>
          <w:szCs w:val="32"/>
        </w:rPr>
        <w:t>受区人民政府委托，现</w:t>
      </w:r>
      <w:r>
        <w:rPr>
          <w:rFonts w:hint="eastAsia" w:eastAsia="仿宋_GB2312"/>
          <w:szCs w:val="32"/>
        </w:rPr>
        <w:t>将我区2024年决算草案情况报告如下：</w:t>
      </w:r>
    </w:p>
    <w:p>
      <w:pPr>
        <w:spacing w:line="600" w:lineRule="exact"/>
        <w:ind w:firstLine="624" w:firstLineChars="200"/>
        <w:rPr>
          <w:rFonts w:eastAsia="仿宋_GB2312"/>
          <w:szCs w:val="32"/>
        </w:rPr>
      </w:pPr>
      <w:r>
        <w:rPr>
          <w:rFonts w:hint="eastAsia" w:eastAsia="仿宋_GB2312"/>
          <w:szCs w:val="32"/>
        </w:rPr>
        <w:t>2024年，区财政部门坚持以习近平新时代中国特色社会主义思想为指导，全面贯彻落实党的二十大和二十届二中全会、三中全会精神，认真落实区委、区政府工作要求，深入开展“四领一促”工作，坚持稳中求进工作总基调，实施更加积极的财政政策，加大支出强度，优化支出结构，持续保障和改善民生，严肃财经纪律，落实党政机关坚持过紧日子要求，提高资金使用效益和政策效能，推动经济持续回升向好，为高质量完成“十四五”规划目标任务，实现“十五五”良好开局提供有力保障。</w:t>
      </w:r>
      <w:bookmarkStart w:id="0" w:name="_GoBack"/>
      <w:bookmarkEnd w:id="0"/>
    </w:p>
    <w:p>
      <w:pPr>
        <w:spacing w:line="600" w:lineRule="exact"/>
        <w:ind w:firstLine="630"/>
        <w:rPr>
          <w:rFonts w:eastAsia="黑体"/>
          <w:szCs w:val="32"/>
        </w:rPr>
      </w:pPr>
      <w:r>
        <w:rPr>
          <w:rFonts w:eastAsia="黑体"/>
          <w:szCs w:val="32"/>
        </w:rPr>
        <w:t>一、2024年全区财政决算情况</w:t>
      </w:r>
    </w:p>
    <w:p>
      <w:pPr>
        <w:spacing w:line="600" w:lineRule="exact"/>
        <w:ind w:firstLine="630"/>
        <w:rPr>
          <w:rFonts w:eastAsia="楷体_GB2312"/>
          <w:szCs w:val="32"/>
        </w:rPr>
      </w:pPr>
      <w:r>
        <w:rPr>
          <w:rFonts w:eastAsia="楷体_GB2312"/>
          <w:szCs w:val="32"/>
        </w:rPr>
        <w:t>㈠一般公共预算收支决算</w:t>
      </w:r>
    </w:p>
    <w:p>
      <w:pPr>
        <w:spacing w:line="600" w:lineRule="exact"/>
        <w:ind w:firstLine="624" w:firstLineChars="200"/>
        <w:rPr>
          <w:rFonts w:eastAsia="仿宋_GB2312"/>
          <w:szCs w:val="32"/>
        </w:rPr>
      </w:pPr>
      <w:r>
        <w:rPr>
          <w:rFonts w:eastAsia="仿宋_GB2312"/>
          <w:szCs w:val="32"/>
        </w:rPr>
        <w:t>1、一般公共预算收入决算情况：202</w:t>
      </w:r>
      <w:r>
        <w:rPr>
          <w:rFonts w:hint="eastAsia" w:eastAsia="仿宋_GB2312"/>
          <w:szCs w:val="32"/>
        </w:rPr>
        <w:t>4</w:t>
      </w:r>
      <w:r>
        <w:rPr>
          <w:rFonts w:eastAsia="仿宋_GB2312"/>
          <w:szCs w:val="32"/>
        </w:rPr>
        <w:t>年全区地方一般公共预算收入</w:t>
      </w:r>
      <w:r>
        <w:rPr>
          <w:rFonts w:hint="eastAsia" w:eastAsia="仿宋_GB2312"/>
          <w:szCs w:val="32"/>
        </w:rPr>
        <w:t>111607</w:t>
      </w:r>
      <w:r>
        <w:rPr>
          <w:rFonts w:eastAsia="仿宋_GB2312"/>
          <w:szCs w:val="32"/>
        </w:rPr>
        <w:t>万元，完成调整预算数</w:t>
      </w:r>
      <w:r>
        <w:rPr>
          <w:rFonts w:hint="eastAsia" w:eastAsia="仿宋_GB2312"/>
          <w:szCs w:val="32"/>
        </w:rPr>
        <w:t>117164</w:t>
      </w:r>
      <w:r>
        <w:rPr>
          <w:rFonts w:eastAsia="仿宋_GB2312"/>
          <w:szCs w:val="32"/>
        </w:rPr>
        <w:t>万元的</w:t>
      </w:r>
      <w:r>
        <w:rPr>
          <w:rFonts w:hint="eastAsia" w:eastAsia="仿宋_GB2312"/>
          <w:szCs w:val="32"/>
        </w:rPr>
        <w:t>95.26</w:t>
      </w:r>
      <w:r>
        <w:rPr>
          <w:rFonts w:eastAsia="仿宋_GB2312"/>
          <w:szCs w:val="32"/>
        </w:rPr>
        <w:t>%，</w:t>
      </w:r>
      <w:r>
        <w:rPr>
          <w:rFonts w:hint="eastAsia" w:eastAsia="仿宋_GB2312"/>
          <w:szCs w:val="32"/>
        </w:rPr>
        <w:t>同比</w:t>
      </w:r>
      <w:r>
        <w:rPr>
          <w:rFonts w:eastAsia="仿宋_GB2312"/>
          <w:szCs w:val="32"/>
        </w:rPr>
        <w:t>增长</w:t>
      </w:r>
      <w:r>
        <w:rPr>
          <w:rFonts w:hint="eastAsia" w:eastAsia="仿宋_GB2312"/>
          <w:szCs w:val="32"/>
        </w:rPr>
        <w:t>0.02</w:t>
      </w:r>
      <w:r>
        <w:rPr>
          <w:rFonts w:eastAsia="仿宋_GB2312"/>
          <w:szCs w:val="32"/>
        </w:rPr>
        <w:t>%。</w:t>
      </w:r>
    </w:p>
    <w:p>
      <w:pPr>
        <w:spacing w:line="580" w:lineRule="exact"/>
        <w:ind w:firstLine="624" w:firstLineChars="200"/>
        <w:rPr>
          <w:rFonts w:eastAsia="仿宋_GB2312"/>
          <w:szCs w:val="32"/>
        </w:rPr>
      </w:pPr>
      <w:r>
        <w:rPr>
          <w:rFonts w:eastAsia="仿宋_GB2312"/>
          <w:szCs w:val="32"/>
        </w:rPr>
        <w:t>2、一般公共预算支出决算情况：202</w:t>
      </w:r>
      <w:r>
        <w:rPr>
          <w:rFonts w:hint="eastAsia" w:eastAsia="仿宋_GB2312"/>
          <w:szCs w:val="32"/>
        </w:rPr>
        <w:t>4</w:t>
      </w:r>
      <w:r>
        <w:rPr>
          <w:rFonts w:eastAsia="仿宋_GB2312"/>
          <w:szCs w:val="32"/>
        </w:rPr>
        <w:t>年全区一般公共预算支出</w:t>
      </w:r>
      <w:r>
        <w:rPr>
          <w:rFonts w:hint="eastAsia" w:eastAsia="仿宋_GB2312"/>
          <w:szCs w:val="32"/>
        </w:rPr>
        <w:t>303585</w:t>
      </w:r>
      <w:r>
        <w:rPr>
          <w:rFonts w:eastAsia="仿宋_GB2312"/>
          <w:szCs w:val="32"/>
        </w:rPr>
        <w:t>万元</w:t>
      </w:r>
      <w:r>
        <w:rPr>
          <w:rFonts w:hint="eastAsia" w:eastAsia="仿宋_GB2312"/>
          <w:szCs w:val="32"/>
        </w:rPr>
        <w:t>，</w:t>
      </w:r>
      <w:r>
        <w:rPr>
          <w:rFonts w:eastAsia="仿宋_GB2312"/>
          <w:szCs w:val="32"/>
        </w:rPr>
        <w:t>完成调整预算数</w:t>
      </w:r>
      <w:r>
        <w:rPr>
          <w:rFonts w:hint="eastAsia" w:eastAsia="仿宋_GB2312"/>
          <w:szCs w:val="32"/>
        </w:rPr>
        <w:t>299514</w:t>
      </w:r>
      <w:r>
        <w:rPr>
          <w:rFonts w:eastAsia="仿宋_GB2312"/>
          <w:szCs w:val="32"/>
        </w:rPr>
        <w:t>万元的</w:t>
      </w:r>
      <w:r>
        <w:rPr>
          <w:rFonts w:hint="eastAsia" w:eastAsia="仿宋_GB2312"/>
          <w:szCs w:val="32"/>
        </w:rPr>
        <w:t>101.36%</w:t>
      </w:r>
      <w:r>
        <w:rPr>
          <w:rFonts w:eastAsia="仿宋_GB2312"/>
          <w:szCs w:val="32"/>
        </w:rPr>
        <w:t>，比上年</w:t>
      </w:r>
      <w:r>
        <w:rPr>
          <w:rFonts w:hint="eastAsia" w:eastAsia="仿宋_GB2312"/>
          <w:szCs w:val="32"/>
        </w:rPr>
        <w:t>增</w:t>
      </w:r>
      <w:r>
        <w:rPr>
          <w:rFonts w:eastAsia="仿宋_GB2312"/>
          <w:szCs w:val="32"/>
        </w:rPr>
        <w:t>支</w:t>
      </w:r>
      <w:r>
        <w:rPr>
          <w:rFonts w:hint="eastAsia" w:eastAsia="仿宋_GB2312"/>
          <w:szCs w:val="32"/>
        </w:rPr>
        <w:t>12946</w:t>
      </w:r>
      <w:r>
        <w:rPr>
          <w:rFonts w:eastAsia="仿宋_GB2312"/>
          <w:szCs w:val="32"/>
        </w:rPr>
        <w:t>万元，</w:t>
      </w:r>
      <w:r>
        <w:rPr>
          <w:rFonts w:hint="eastAsia" w:eastAsia="仿宋_GB2312"/>
          <w:szCs w:val="32"/>
        </w:rPr>
        <w:t>增长4.45</w:t>
      </w:r>
      <w:r>
        <w:rPr>
          <w:rFonts w:eastAsia="仿宋_GB2312"/>
          <w:szCs w:val="32"/>
        </w:rPr>
        <w:t>%。</w:t>
      </w:r>
    </w:p>
    <w:p>
      <w:pPr>
        <w:spacing w:line="600" w:lineRule="exact"/>
        <w:ind w:firstLine="630"/>
        <w:rPr>
          <w:rFonts w:eastAsia="仿宋_GB2312"/>
          <w:szCs w:val="32"/>
        </w:rPr>
      </w:pPr>
      <w:r>
        <w:rPr>
          <w:rFonts w:eastAsia="仿宋_GB2312"/>
          <w:szCs w:val="32"/>
        </w:rPr>
        <w:t>3、一般公共预算收支决算平衡情况：202</w:t>
      </w:r>
      <w:r>
        <w:rPr>
          <w:rFonts w:hint="eastAsia" w:eastAsia="仿宋_GB2312"/>
          <w:szCs w:val="32"/>
        </w:rPr>
        <w:t>4</w:t>
      </w:r>
      <w:r>
        <w:rPr>
          <w:rFonts w:eastAsia="仿宋_GB2312"/>
          <w:szCs w:val="32"/>
        </w:rPr>
        <w:t>年全区地方一般公共预算收入</w:t>
      </w:r>
      <w:r>
        <w:rPr>
          <w:rFonts w:hint="eastAsia" w:eastAsia="仿宋_GB2312"/>
          <w:szCs w:val="32"/>
        </w:rPr>
        <w:t>111607</w:t>
      </w:r>
      <w:r>
        <w:rPr>
          <w:rFonts w:eastAsia="仿宋_GB2312"/>
          <w:szCs w:val="32"/>
        </w:rPr>
        <w:t>万元，加上级补助收入</w:t>
      </w:r>
      <w:r>
        <w:rPr>
          <w:rFonts w:hint="eastAsia" w:eastAsia="仿宋_GB2312"/>
          <w:szCs w:val="32"/>
        </w:rPr>
        <w:t>118213</w:t>
      </w:r>
      <w:r>
        <w:rPr>
          <w:rFonts w:eastAsia="仿宋_GB2312"/>
          <w:szCs w:val="32"/>
        </w:rPr>
        <w:t>万元，上年结转</w:t>
      </w:r>
      <w:r>
        <w:rPr>
          <w:rFonts w:hint="eastAsia" w:eastAsia="仿宋_GB2312"/>
          <w:szCs w:val="32"/>
        </w:rPr>
        <w:t>44354</w:t>
      </w:r>
      <w:r>
        <w:rPr>
          <w:rFonts w:eastAsia="仿宋_GB2312"/>
          <w:szCs w:val="32"/>
        </w:rPr>
        <w:t>万元，调入资金</w:t>
      </w:r>
      <w:r>
        <w:rPr>
          <w:rFonts w:hint="eastAsia" w:eastAsia="仿宋_GB2312"/>
          <w:szCs w:val="32"/>
        </w:rPr>
        <w:t>66148</w:t>
      </w:r>
      <w:r>
        <w:rPr>
          <w:rFonts w:eastAsia="仿宋_GB2312"/>
          <w:szCs w:val="32"/>
        </w:rPr>
        <w:t>万元（其中：政府性基金调入</w:t>
      </w:r>
      <w:r>
        <w:rPr>
          <w:rFonts w:hint="eastAsia" w:eastAsia="仿宋_GB2312"/>
          <w:szCs w:val="32"/>
        </w:rPr>
        <w:t>1521</w:t>
      </w:r>
      <w:r>
        <w:rPr>
          <w:rFonts w:eastAsia="仿宋_GB2312"/>
          <w:szCs w:val="32"/>
        </w:rPr>
        <w:t>万元，</w:t>
      </w:r>
      <w:r>
        <w:rPr>
          <w:rFonts w:hint="eastAsia" w:eastAsia="仿宋_GB2312"/>
          <w:szCs w:val="32"/>
        </w:rPr>
        <w:t>从其他</w:t>
      </w:r>
      <w:r>
        <w:rPr>
          <w:rFonts w:eastAsia="仿宋_GB2312"/>
          <w:szCs w:val="32"/>
        </w:rPr>
        <w:t>资金调入</w:t>
      </w:r>
      <w:r>
        <w:rPr>
          <w:rFonts w:hint="eastAsia" w:eastAsia="仿宋_GB2312"/>
          <w:szCs w:val="32"/>
        </w:rPr>
        <w:t>64627</w:t>
      </w:r>
      <w:r>
        <w:rPr>
          <w:rFonts w:eastAsia="仿宋_GB2312"/>
          <w:szCs w:val="32"/>
        </w:rPr>
        <w:t>万元），地方政府一般债务转贷收入</w:t>
      </w:r>
      <w:r>
        <w:rPr>
          <w:rFonts w:hint="eastAsia" w:eastAsia="仿宋_GB2312"/>
          <w:szCs w:val="32"/>
        </w:rPr>
        <w:t>29241</w:t>
      </w:r>
      <w:r>
        <w:rPr>
          <w:rFonts w:eastAsia="仿宋_GB2312"/>
          <w:szCs w:val="32"/>
        </w:rPr>
        <w:t>万元（</w:t>
      </w:r>
      <w:r>
        <w:rPr>
          <w:rFonts w:hint="eastAsia" w:eastAsia="仿宋_GB2312"/>
          <w:szCs w:val="32"/>
        </w:rPr>
        <w:t>其中：再融资债券20033万元，新增一般债券9208万元</w:t>
      </w:r>
      <w:r>
        <w:rPr>
          <w:rFonts w:eastAsia="仿宋_GB2312"/>
          <w:szCs w:val="32"/>
        </w:rPr>
        <w:t>），动用预算稳定调节基金</w:t>
      </w:r>
      <w:r>
        <w:rPr>
          <w:rFonts w:hint="eastAsia" w:eastAsia="仿宋_GB2312"/>
          <w:szCs w:val="32"/>
        </w:rPr>
        <w:t>1335</w:t>
      </w:r>
      <w:r>
        <w:rPr>
          <w:rFonts w:eastAsia="仿宋_GB2312"/>
          <w:szCs w:val="32"/>
        </w:rPr>
        <w:t>万元，</w:t>
      </w:r>
      <w:r>
        <w:rPr>
          <w:rFonts w:hint="eastAsia" w:eastAsia="仿宋_GB2312"/>
          <w:szCs w:val="32"/>
        </w:rPr>
        <w:t>收入</w:t>
      </w:r>
      <w:r>
        <w:rPr>
          <w:rFonts w:eastAsia="仿宋_GB2312"/>
          <w:szCs w:val="32"/>
        </w:rPr>
        <w:t>总计</w:t>
      </w:r>
      <w:r>
        <w:rPr>
          <w:rFonts w:hint="eastAsia" w:eastAsia="仿宋_GB2312"/>
          <w:szCs w:val="32"/>
        </w:rPr>
        <w:t>370898</w:t>
      </w:r>
      <w:r>
        <w:rPr>
          <w:rFonts w:eastAsia="仿宋_GB2312"/>
          <w:szCs w:val="32"/>
        </w:rPr>
        <w:t>万元；202</w:t>
      </w:r>
      <w:r>
        <w:rPr>
          <w:rFonts w:hint="eastAsia" w:eastAsia="仿宋_GB2312"/>
          <w:szCs w:val="32"/>
        </w:rPr>
        <w:t>4</w:t>
      </w:r>
      <w:r>
        <w:rPr>
          <w:rFonts w:eastAsia="仿宋_GB2312"/>
          <w:szCs w:val="32"/>
        </w:rPr>
        <w:t>年全区一般公共预算支出</w:t>
      </w:r>
      <w:r>
        <w:rPr>
          <w:rFonts w:hint="eastAsia" w:eastAsia="仿宋_GB2312"/>
          <w:szCs w:val="32"/>
        </w:rPr>
        <w:t>303585</w:t>
      </w:r>
      <w:r>
        <w:rPr>
          <w:rFonts w:eastAsia="仿宋_GB2312"/>
          <w:szCs w:val="32"/>
        </w:rPr>
        <w:t>万元，加上解支出</w:t>
      </w:r>
      <w:r>
        <w:rPr>
          <w:rFonts w:hint="eastAsia" w:eastAsia="仿宋_GB2312"/>
          <w:szCs w:val="32"/>
        </w:rPr>
        <w:t>15726</w:t>
      </w:r>
      <w:r>
        <w:rPr>
          <w:rFonts w:eastAsia="仿宋_GB2312"/>
          <w:szCs w:val="32"/>
        </w:rPr>
        <w:t>万元，地方政府一般债务还本支出</w:t>
      </w:r>
      <w:r>
        <w:rPr>
          <w:rFonts w:hint="eastAsia" w:eastAsia="仿宋_GB2312"/>
          <w:szCs w:val="32"/>
        </w:rPr>
        <w:t>22971</w:t>
      </w:r>
      <w:r>
        <w:rPr>
          <w:rFonts w:eastAsia="仿宋_GB2312"/>
          <w:szCs w:val="32"/>
        </w:rPr>
        <w:t>万元，安排预算稳定调节基金</w:t>
      </w:r>
      <w:r>
        <w:rPr>
          <w:rFonts w:hint="eastAsia" w:eastAsia="仿宋_GB2312"/>
          <w:szCs w:val="32"/>
        </w:rPr>
        <w:t>512</w:t>
      </w:r>
      <w:r>
        <w:rPr>
          <w:rFonts w:eastAsia="仿宋_GB2312"/>
          <w:szCs w:val="32"/>
        </w:rPr>
        <w:t>万元，支出总计</w:t>
      </w:r>
      <w:r>
        <w:rPr>
          <w:rFonts w:hint="eastAsia" w:eastAsia="仿宋_GB2312"/>
          <w:szCs w:val="32"/>
        </w:rPr>
        <w:t>342794</w:t>
      </w:r>
      <w:r>
        <w:rPr>
          <w:rFonts w:eastAsia="仿宋_GB2312"/>
          <w:szCs w:val="32"/>
        </w:rPr>
        <w:t>万元。收支相抵，结转下年支出</w:t>
      </w:r>
      <w:r>
        <w:rPr>
          <w:rFonts w:hint="eastAsia" w:eastAsia="仿宋_GB2312"/>
          <w:szCs w:val="32"/>
        </w:rPr>
        <w:t>28104</w:t>
      </w:r>
      <w:r>
        <w:rPr>
          <w:rFonts w:eastAsia="仿宋_GB2312"/>
          <w:szCs w:val="32"/>
        </w:rPr>
        <w:t>万元。</w:t>
      </w:r>
    </w:p>
    <w:p>
      <w:pPr>
        <w:spacing w:line="600" w:lineRule="exact"/>
        <w:ind w:firstLine="630"/>
        <w:rPr>
          <w:rFonts w:eastAsia="仿宋_GB2312"/>
          <w:szCs w:val="32"/>
        </w:rPr>
      </w:pPr>
      <w:r>
        <w:rPr>
          <w:rFonts w:eastAsia="仿宋_GB2312"/>
          <w:szCs w:val="32"/>
        </w:rPr>
        <w:t>“保基本民生、保工资、保运转”预算数</w:t>
      </w:r>
      <w:r>
        <w:rPr>
          <w:rFonts w:hint="eastAsia" w:eastAsia="仿宋_GB2312"/>
          <w:szCs w:val="32"/>
        </w:rPr>
        <w:t>131041</w:t>
      </w:r>
      <w:r>
        <w:rPr>
          <w:rFonts w:eastAsia="仿宋_GB2312"/>
          <w:szCs w:val="32"/>
        </w:rPr>
        <w:t>万元，202</w:t>
      </w:r>
      <w:r>
        <w:rPr>
          <w:rFonts w:hint="eastAsia" w:eastAsia="仿宋_GB2312"/>
          <w:szCs w:val="32"/>
        </w:rPr>
        <w:t>4</w:t>
      </w:r>
      <w:r>
        <w:rPr>
          <w:rFonts w:eastAsia="仿宋_GB2312"/>
          <w:szCs w:val="32"/>
        </w:rPr>
        <w:t>年实际支出</w:t>
      </w:r>
      <w:r>
        <w:rPr>
          <w:rFonts w:hint="eastAsia" w:eastAsia="仿宋_GB2312"/>
          <w:szCs w:val="32"/>
        </w:rPr>
        <w:t>129799</w:t>
      </w:r>
      <w:r>
        <w:rPr>
          <w:rFonts w:eastAsia="仿宋_GB2312"/>
          <w:szCs w:val="32"/>
        </w:rPr>
        <w:t>万元，</w:t>
      </w:r>
      <w:r>
        <w:rPr>
          <w:rFonts w:hint="eastAsia" w:eastAsia="仿宋_GB2312"/>
          <w:szCs w:val="32"/>
        </w:rPr>
        <w:t>其余部分在2025年已支出。</w:t>
      </w:r>
      <w:r>
        <w:rPr>
          <w:rFonts w:eastAsia="仿宋_GB2312"/>
          <w:szCs w:val="32"/>
        </w:rPr>
        <w:t>预算执行将“三保”支出放在首位，切实兜牢兜实“三保”底线。</w:t>
      </w:r>
    </w:p>
    <w:p>
      <w:pPr>
        <w:spacing w:line="600" w:lineRule="exact"/>
        <w:ind w:firstLine="630"/>
        <w:rPr>
          <w:rFonts w:eastAsia="方正楷体简体"/>
          <w:szCs w:val="32"/>
        </w:rPr>
      </w:pPr>
      <w:r>
        <w:rPr>
          <w:rFonts w:eastAsia="楷体_GB2312"/>
          <w:szCs w:val="32"/>
        </w:rPr>
        <w:t>㈡政府性基金收支决算</w:t>
      </w:r>
    </w:p>
    <w:p>
      <w:pPr>
        <w:spacing w:line="580" w:lineRule="exact"/>
        <w:ind w:firstLine="630"/>
        <w:rPr>
          <w:rFonts w:eastAsia="仿宋_GB2312"/>
          <w:szCs w:val="32"/>
        </w:rPr>
      </w:pPr>
      <w:r>
        <w:rPr>
          <w:rFonts w:eastAsia="仿宋_GB2312"/>
          <w:szCs w:val="32"/>
        </w:rPr>
        <w:t>1、政府性基金收入决算情况：202</w:t>
      </w:r>
      <w:r>
        <w:rPr>
          <w:rFonts w:hint="eastAsia" w:eastAsia="仿宋_GB2312"/>
          <w:szCs w:val="32"/>
        </w:rPr>
        <w:t>4</w:t>
      </w:r>
      <w:r>
        <w:rPr>
          <w:rFonts w:eastAsia="仿宋_GB2312"/>
          <w:szCs w:val="32"/>
        </w:rPr>
        <w:t>年全区政府性基金收入</w:t>
      </w:r>
      <w:r>
        <w:rPr>
          <w:rFonts w:hint="eastAsia" w:eastAsia="仿宋_GB2312"/>
          <w:szCs w:val="32"/>
        </w:rPr>
        <w:t>29307</w:t>
      </w:r>
      <w:r>
        <w:rPr>
          <w:rFonts w:eastAsia="仿宋_GB2312"/>
          <w:szCs w:val="32"/>
        </w:rPr>
        <w:t>万元，完成调整预算数</w:t>
      </w:r>
      <w:r>
        <w:rPr>
          <w:rFonts w:hint="eastAsia" w:eastAsia="仿宋_GB2312"/>
          <w:szCs w:val="32"/>
        </w:rPr>
        <w:t>29369</w:t>
      </w:r>
      <w:r>
        <w:rPr>
          <w:rFonts w:eastAsia="仿宋_GB2312"/>
          <w:szCs w:val="32"/>
        </w:rPr>
        <w:t>万元的</w:t>
      </w:r>
      <w:r>
        <w:rPr>
          <w:rFonts w:hint="eastAsia" w:eastAsia="仿宋_GB2312"/>
          <w:szCs w:val="32"/>
        </w:rPr>
        <w:t>99.79</w:t>
      </w:r>
      <w:r>
        <w:rPr>
          <w:rFonts w:eastAsia="仿宋_GB2312"/>
          <w:szCs w:val="32"/>
        </w:rPr>
        <w:t>%，比上年</w:t>
      </w:r>
      <w:r>
        <w:rPr>
          <w:rFonts w:hint="eastAsia" w:eastAsia="仿宋_GB2312"/>
          <w:szCs w:val="32"/>
        </w:rPr>
        <w:t>增</w:t>
      </w:r>
      <w:r>
        <w:rPr>
          <w:rFonts w:eastAsia="仿宋_GB2312"/>
          <w:szCs w:val="32"/>
        </w:rPr>
        <w:t>收</w:t>
      </w:r>
      <w:r>
        <w:rPr>
          <w:rFonts w:hint="eastAsia" w:eastAsia="仿宋_GB2312"/>
          <w:szCs w:val="32"/>
        </w:rPr>
        <w:t>1905</w:t>
      </w:r>
      <w:r>
        <w:rPr>
          <w:rFonts w:eastAsia="仿宋_GB2312"/>
          <w:szCs w:val="32"/>
        </w:rPr>
        <w:t>万元，</w:t>
      </w:r>
      <w:r>
        <w:rPr>
          <w:rFonts w:hint="eastAsia" w:eastAsia="仿宋_GB2312"/>
          <w:szCs w:val="32"/>
        </w:rPr>
        <w:t>增长6.95</w:t>
      </w:r>
      <w:r>
        <w:rPr>
          <w:rFonts w:eastAsia="仿宋_GB2312"/>
          <w:szCs w:val="32"/>
        </w:rPr>
        <w:t>%。</w:t>
      </w:r>
    </w:p>
    <w:p>
      <w:pPr>
        <w:spacing w:line="580" w:lineRule="exact"/>
        <w:ind w:firstLine="630"/>
        <w:rPr>
          <w:rFonts w:eastAsia="仿宋_GB2312"/>
          <w:szCs w:val="32"/>
        </w:rPr>
      </w:pPr>
      <w:r>
        <w:rPr>
          <w:rFonts w:eastAsia="仿宋_GB2312"/>
          <w:szCs w:val="32"/>
        </w:rPr>
        <w:t>2、政府性基金支出决算情况：202</w:t>
      </w:r>
      <w:r>
        <w:rPr>
          <w:rFonts w:hint="eastAsia" w:eastAsia="仿宋_GB2312"/>
          <w:szCs w:val="32"/>
        </w:rPr>
        <w:t>4</w:t>
      </w:r>
      <w:r>
        <w:rPr>
          <w:rFonts w:eastAsia="仿宋_GB2312"/>
          <w:szCs w:val="32"/>
        </w:rPr>
        <w:t>年全区政府性基金支出</w:t>
      </w:r>
      <w:r>
        <w:rPr>
          <w:rFonts w:hint="eastAsia" w:eastAsia="仿宋_GB2312"/>
          <w:szCs w:val="32"/>
        </w:rPr>
        <w:t>82184</w:t>
      </w:r>
      <w:r>
        <w:rPr>
          <w:rFonts w:eastAsia="仿宋_GB2312"/>
          <w:szCs w:val="32"/>
        </w:rPr>
        <w:t>万元，完成调整预算数</w:t>
      </w:r>
      <w:r>
        <w:rPr>
          <w:rFonts w:hint="eastAsia" w:eastAsia="仿宋_GB2312"/>
          <w:szCs w:val="32"/>
        </w:rPr>
        <w:t>66001</w:t>
      </w:r>
      <w:r>
        <w:rPr>
          <w:rFonts w:eastAsia="仿宋_GB2312"/>
          <w:szCs w:val="32"/>
        </w:rPr>
        <w:t>万元的</w:t>
      </w:r>
      <w:r>
        <w:rPr>
          <w:rFonts w:hint="eastAsia" w:eastAsia="仿宋_GB2312"/>
          <w:szCs w:val="32"/>
        </w:rPr>
        <w:t>124.52</w:t>
      </w:r>
      <w:r>
        <w:rPr>
          <w:rFonts w:eastAsia="仿宋_GB2312"/>
          <w:szCs w:val="32"/>
        </w:rPr>
        <w:t>%，比上年</w:t>
      </w:r>
      <w:r>
        <w:rPr>
          <w:rFonts w:hint="eastAsia" w:eastAsia="仿宋_GB2312"/>
          <w:szCs w:val="32"/>
        </w:rPr>
        <w:t>减</w:t>
      </w:r>
      <w:r>
        <w:rPr>
          <w:rFonts w:eastAsia="仿宋_GB2312"/>
          <w:szCs w:val="32"/>
        </w:rPr>
        <w:t>支</w:t>
      </w:r>
      <w:r>
        <w:rPr>
          <w:rFonts w:hint="eastAsia" w:eastAsia="仿宋_GB2312"/>
          <w:szCs w:val="32"/>
        </w:rPr>
        <w:t>23196</w:t>
      </w:r>
      <w:r>
        <w:rPr>
          <w:rFonts w:eastAsia="仿宋_GB2312"/>
          <w:szCs w:val="32"/>
        </w:rPr>
        <w:t>万元，</w:t>
      </w:r>
      <w:r>
        <w:rPr>
          <w:rFonts w:hint="eastAsia" w:eastAsia="仿宋_GB2312"/>
          <w:szCs w:val="32"/>
        </w:rPr>
        <w:t>降低22.01</w:t>
      </w:r>
      <w:r>
        <w:rPr>
          <w:rFonts w:eastAsia="仿宋_GB2312"/>
          <w:szCs w:val="32"/>
        </w:rPr>
        <w:t>%。</w:t>
      </w:r>
    </w:p>
    <w:p>
      <w:pPr>
        <w:spacing w:line="600" w:lineRule="exact"/>
        <w:ind w:firstLine="630"/>
        <w:rPr>
          <w:rFonts w:eastAsia="仿宋_GB2312"/>
          <w:szCs w:val="32"/>
        </w:rPr>
      </w:pPr>
      <w:r>
        <w:rPr>
          <w:rFonts w:eastAsia="仿宋_GB2312"/>
          <w:szCs w:val="32"/>
        </w:rPr>
        <w:t>3、政府性基金收支决算平衡情况：202</w:t>
      </w:r>
      <w:r>
        <w:rPr>
          <w:rFonts w:hint="eastAsia" w:eastAsia="仿宋_GB2312"/>
          <w:szCs w:val="32"/>
        </w:rPr>
        <w:t>4</w:t>
      </w:r>
      <w:r>
        <w:rPr>
          <w:rFonts w:eastAsia="仿宋_GB2312"/>
          <w:szCs w:val="32"/>
        </w:rPr>
        <w:t>年全区政府性基金收入</w:t>
      </w:r>
      <w:r>
        <w:rPr>
          <w:rFonts w:hint="eastAsia" w:eastAsia="仿宋_GB2312"/>
          <w:szCs w:val="32"/>
        </w:rPr>
        <w:t>29307</w:t>
      </w:r>
      <w:r>
        <w:rPr>
          <w:rFonts w:eastAsia="仿宋_GB2312"/>
          <w:szCs w:val="32"/>
        </w:rPr>
        <w:t>万元，加上级补助收入</w:t>
      </w:r>
      <w:r>
        <w:rPr>
          <w:rFonts w:hint="eastAsia" w:eastAsia="仿宋_GB2312"/>
          <w:szCs w:val="32"/>
        </w:rPr>
        <w:t>31104</w:t>
      </w:r>
      <w:r>
        <w:rPr>
          <w:rFonts w:eastAsia="仿宋_GB2312"/>
          <w:szCs w:val="32"/>
        </w:rPr>
        <w:t>万元，上年结转</w:t>
      </w:r>
      <w:r>
        <w:rPr>
          <w:rFonts w:hint="eastAsia" w:eastAsia="仿宋_GB2312"/>
          <w:szCs w:val="32"/>
        </w:rPr>
        <w:t>52041</w:t>
      </w:r>
      <w:r>
        <w:rPr>
          <w:rFonts w:eastAsia="仿宋_GB2312"/>
          <w:szCs w:val="32"/>
        </w:rPr>
        <w:t>万元，调入资金</w:t>
      </w:r>
      <w:r>
        <w:rPr>
          <w:rFonts w:hint="eastAsia" w:eastAsia="仿宋_GB2312"/>
          <w:szCs w:val="32"/>
        </w:rPr>
        <w:t>21080</w:t>
      </w:r>
      <w:r>
        <w:rPr>
          <w:rFonts w:eastAsia="仿宋_GB2312"/>
          <w:szCs w:val="32"/>
        </w:rPr>
        <w:t>万元，地方政府专项债务转贷收入</w:t>
      </w:r>
      <w:r>
        <w:rPr>
          <w:rFonts w:hint="eastAsia" w:eastAsia="仿宋_GB2312"/>
          <w:szCs w:val="32"/>
        </w:rPr>
        <w:t>87802</w:t>
      </w:r>
      <w:r>
        <w:rPr>
          <w:rFonts w:eastAsia="仿宋_GB2312"/>
          <w:szCs w:val="32"/>
        </w:rPr>
        <w:t>万元</w:t>
      </w:r>
      <w:r>
        <w:rPr>
          <w:rFonts w:hint="eastAsia" w:eastAsia="仿宋_GB2312"/>
          <w:szCs w:val="32"/>
        </w:rPr>
        <w:t>（</w:t>
      </w:r>
      <w:r>
        <w:rPr>
          <w:rFonts w:eastAsia="仿宋_GB2312"/>
          <w:szCs w:val="32"/>
        </w:rPr>
        <w:t>其中：再融资债券</w:t>
      </w:r>
      <w:r>
        <w:rPr>
          <w:rFonts w:hint="eastAsia" w:eastAsia="仿宋_GB2312"/>
          <w:szCs w:val="32"/>
        </w:rPr>
        <w:t>80203</w:t>
      </w:r>
      <w:r>
        <w:rPr>
          <w:rFonts w:eastAsia="仿宋_GB2312"/>
          <w:szCs w:val="32"/>
        </w:rPr>
        <w:t>万元，新增</w:t>
      </w:r>
      <w:r>
        <w:rPr>
          <w:rFonts w:hint="eastAsia" w:eastAsia="仿宋_GB2312"/>
          <w:szCs w:val="32"/>
        </w:rPr>
        <w:t>专项</w:t>
      </w:r>
      <w:r>
        <w:rPr>
          <w:rFonts w:eastAsia="仿宋_GB2312"/>
          <w:szCs w:val="32"/>
        </w:rPr>
        <w:t>债券</w:t>
      </w:r>
      <w:r>
        <w:rPr>
          <w:rFonts w:hint="eastAsia" w:eastAsia="仿宋_GB2312"/>
          <w:szCs w:val="32"/>
        </w:rPr>
        <w:t>7599</w:t>
      </w:r>
      <w:r>
        <w:rPr>
          <w:rFonts w:eastAsia="仿宋_GB2312"/>
          <w:szCs w:val="32"/>
        </w:rPr>
        <w:t>万元</w:t>
      </w:r>
      <w:r>
        <w:rPr>
          <w:rFonts w:hint="eastAsia" w:eastAsia="仿宋_GB2312"/>
          <w:szCs w:val="32"/>
        </w:rPr>
        <w:t>）</w:t>
      </w:r>
      <w:r>
        <w:rPr>
          <w:rFonts w:eastAsia="仿宋_GB2312"/>
          <w:szCs w:val="32"/>
        </w:rPr>
        <w:t>，收入总计</w:t>
      </w:r>
      <w:r>
        <w:rPr>
          <w:rFonts w:hint="eastAsia" w:eastAsia="仿宋_GB2312"/>
          <w:szCs w:val="32"/>
        </w:rPr>
        <w:t>221334</w:t>
      </w:r>
      <w:r>
        <w:rPr>
          <w:rFonts w:eastAsia="仿宋_GB2312"/>
          <w:szCs w:val="32"/>
        </w:rPr>
        <w:t>万元；202</w:t>
      </w:r>
      <w:r>
        <w:rPr>
          <w:rFonts w:hint="eastAsia" w:eastAsia="仿宋_GB2312"/>
          <w:szCs w:val="32"/>
        </w:rPr>
        <w:t>4</w:t>
      </w:r>
      <w:r>
        <w:rPr>
          <w:rFonts w:eastAsia="仿宋_GB2312"/>
          <w:szCs w:val="32"/>
        </w:rPr>
        <w:t>年全区政府性基金支出</w:t>
      </w:r>
      <w:r>
        <w:rPr>
          <w:rFonts w:hint="eastAsia" w:eastAsia="仿宋_GB2312"/>
          <w:szCs w:val="32"/>
        </w:rPr>
        <w:t>82184</w:t>
      </w:r>
      <w:r>
        <w:rPr>
          <w:rFonts w:eastAsia="仿宋_GB2312"/>
          <w:szCs w:val="32"/>
        </w:rPr>
        <w:t>万元，加调出资金</w:t>
      </w:r>
      <w:r>
        <w:rPr>
          <w:rFonts w:hint="eastAsia" w:eastAsia="仿宋_GB2312"/>
          <w:szCs w:val="32"/>
        </w:rPr>
        <w:t>1521</w:t>
      </w:r>
      <w:r>
        <w:rPr>
          <w:rFonts w:eastAsia="仿宋_GB2312"/>
          <w:szCs w:val="32"/>
        </w:rPr>
        <w:t>万元，地方政府专项债务还本支出</w:t>
      </w:r>
      <w:r>
        <w:rPr>
          <w:rFonts w:hint="eastAsia" w:eastAsia="仿宋_GB2312"/>
          <w:szCs w:val="32"/>
        </w:rPr>
        <w:t>82703</w:t>
      </w:r>
      <w:r>
        <w:rPr>
          <w:rFonts w:eastAsia="仿宋_GB2312"/>
          <w:szCs w:val="32"/>
        </w:rPr>
        <w:t>万元，支出总计</w:t>
      </w:r>
      <w:r>
        <w:rPr>
          <w:rFonts w:hint="eastAsia" w:eastAsia="仿宋_GB2312"/>
          <w:szCs w:val="32"/>
        </w:rPr>
        <w:t>166408</w:t>
      </w:r>
      <w:r>
        <w:rPr>
          <w:rFonts w:eastAsia="仿宋_GB2312"/>
          <w:szCs w:val="32"/>
        </w:rPr>
        <w:t>万元。收支相抵，结转下年支出</w:t>
      </w:r>
      <w:r>
        <w:rPr>
          <w:rFonts w:hint="eastAsia" w:eastAsia="仿宋_GB2312"/>
          <w:szCs w:val="32"/>
        </w:rPr>
        <w:t>54926</w:t>
      </w:r>
      <w:r>
        <w:rPr>
          <w:rFonts w:eastAsia="仿宋_GB2312"/>
          <w:szCs w:val="32"/>
        </w:rPr>
        <w:t>万元。</w:t>
      </w:r>
    </w:p>
    <w:p>
      <w:pPr>
        <w:spacing w:line="600" w:lineRule="exact"/>
        <w:ind w:firstLine="630"/>
        <w:rPr>
          <w:rFonts w:eastAsia="楷体_GB2312"/>
          <w:szCs w:val="32"/>
        </w:rPr>
      </w:pPr>
      <w:r>
        <w:rPr>
          <w:rFonts w:eastAsia="楷体_GB2312"/>
          <w:szCs w:val="32"/>
        </w:rPr>
        <w:t>㈢社会保障基金收支决算</w:t>
      </w:r>
    </w:p>
    <w:p>
      <w:pPr>
        <w:spacing w:line="600" w:lineRule="exact"/>
        <w:ind w:firstLine="624" w:firstLineChars="200"/>
        <w:rPr>
          <w:rFonts w:eastAsia="仿宋_GB2312"/>
          <w:szCs w:val="32"/>
        </w:rPr>
      </w:pPr>
      <w:r>
        <w:rPr>
          <w:rFonts w:eastAsia="仿宋_GB2312"/>
          <w:szCs w:val="32"/>
        </w:rPr>
        <w:t>社会保障基金管理按照“分级管理、谁统筹、谁管理”原则，由区本级预算管理的社会保障基金为城乡居民基本养老保险基金及机关事业单位基本养老保险基金。</w:t>
      </w:r>
    </w:p>
    <w:p>
      <w:pPr>
        <w:spacing w:line="580" w:lineRule="exact"/>
        <w:ind w:firstLine="624" w:firstLineChars="200"/>
        <w:rPr>
          <w:rFonts w:eastAsia="仿宋_GB2312"/>
          <w:szCs w:val="32"/>
        </w:rPr>
      </w:pPr>
      <w:r>
        <w:rPr>
          <w:rFonts w:eastAsia="仿宋_GB2312"/>
          <w:szCs w:val="32"/>
        </w:rPr>
        <w:t>1、</w:t>
      </w:r>
      <w:r>
        <w:rPr>
          <w:rFonts w:hint="eastAsia" w:eastAsia="仿宋_GB2312"/>
          <w:szCs w:val="32"/>
        </w:rPr>
        <w:t>2024年全区城乡居民基本养老保险基金收入12793万元，完成预算数12480万元的102.51%，其中：政府补贴收入8724万元、个人缴费收入2786万元、集体补助收入81万元、利息收入539万元、转移收入24万元、委托投资收益635万元、其他收入4万元；城乡居民基本养老保险基金支出9469万元，完成预算数9240万元的102.48%，其中：基础养老金支出8347万元、个人账户养老金支出734万元、丧葬抚恤补助支出364万元，转移支出7万元，其他支出17万元。当年收支相抵结余3324万元，年末滚存结余33783万元。</w:t>
      </w:r>
    </w:p>
    <w:p>
      <w:pPr>
        <w:spacing w:line="580" w:lineRule="exact"/>
        <w:ind w:firstLine="624" w:firstLineChars="200"/>
        <w:rPr>
          <w:rFonts w:eastAsia="仿宋_GB2312"/>
          <w:szCs w:val="32"/>
        </w:rPr>
      </w:pPr>
      <w:r>
        <w:rPr>
          <w:rFonts w:eastAsia="仿宋_GB2312"/>
          <w:szCs w:val="32"/>
        </w:rPr>
        <w:t>2、</w:t>
      </w:r>
      <w:r>
        <w:rPr>
          <w:rFonts w:hint="eastAsia" w:eastAsia="仿宋_GB2312"/>
          <w:szCs w:val="32"/>
        </w:rPr>
        <w:t>2024年全区机关事业单位基本养老保险基金收入29219万元，完成预算数29807万元的98.03%，其中：政府补贴收入15200万元、个人缴费收入13963万元、利息收入26万元、转移收入21万元、其他收入9万元；机关事业单位基本养老保险基金支出29122万元，完成预算数29807万元的97.7%，其中：基础养老金支出28387万元、转移支出710万元、其他支出25万元。当年收支相抵结余97万元，年末滚存结余2949万元。</w:t>
      </w:r>
    </w:p>
    <w:p>
      <w:pPr>
        <w:spacing w:line="600" w:lineRule="exact"/>
        <w:ind w:firstLine="630"/>
        <w:rPr>
          <w:rFonts w:eastAsia="楷体_GB2312"/>
          <w:szCs w:val="32"/>
        </w:rPr>
      </w:pPr>
      <w:r>
        <w:rPr>
          <w:rFonts w:eastAsia="楷体_GB2312"/>
          <w:szCs w:val="32"/>
        </w:rPr>
        <w:t>㈣国有资本经营收支决算</w:t>
      </w:r>
    </w:p>
    <w:p>
      <w:pPr>
        <w:spacing w:line="560" w:lineRule="exact"/>
        <w:ind w:firstLine="624" w:firstLineChars="200"/>
        <w:rPr>
          <w:rFonts w:eastAsia="仿宋_GB2312"/>
          <w:szCs w:val="32"/>
        </w:rPr>
      </w:pPr>
      <w:r>
        <w:rPr>
          <w:rFonts w:eastAsia="仿宋_GB2312"/>
          <w:szCs w:val="32"/>
        </w:rPr>
        <w:t>202</w:t>
      </w:r>
      <w:r>
        <w:rPr>
          <w:rFonts w:hint="eastAsia" w:eastAsia="仿宋_GB2312"/>
          <w:szCs w:val="32"/>
        </w:rPr>
        <w:t>4</w:t>
      </w:r>
      <w:r>
        <w:rPr>
          <w:rFonts w:eastAsia="仿宋_GB2312"/>
          <w:szCs w:val="32"/>
        </w:rPr>
        <w:t>年</w:t>
      </w:r>
      <w:r>
        <w:rPr>
          <w:rFonts w:hint="eastAsia" w:eastAsia="仿宋_GB2312"/>
          <w:szCs w:val="32"/>
        </w:rPr>
        <w:t>全区</w:t>
      </w:r>
      <w:r>
        <w:rPr>
          <w:rFonts w:eastAsia="仿宋_GB2312"/>
          <w:szCs w:val="32"/>
        </w:rPr>
        <w:t>国有资本经营预算收入</w:t>
      </w:r>
      <w:r>
        <w:rPr>
          <w:rFonts w:hint="eastAsia" w:eastAsia="仿宋_GB2312"/>
          <w:szCs w:val="32"/>
        </w:rPr>
        <w:t>0</w:t>
      </w:r>
      <w:r>
        <w:rPr>
          <w:rFonts w:eastAsia="仿宋_GB2312"/>
          <w:szCs w:val="32"/>
        </w:rPr>
        <w:t>万元，</w:t>
      </w:r>
      <w:r>
        <w:rPr>
          <w:rFonts w:hint="eastAsia" w:eastAsia="仿宋_GB2312"/>
          <w:szCs w:val="32"/>
        </w:rPr>
        <w:t>加上级补助收入19万元、上年结转19万元，收入总计38万元</w:t>
      </w:r>
      <w:r>
        <w:rPr>
          <w:rFonts w:eastAsia="仿宋_GB2312"/>
          <w:szCs w:val="32"/>
        </w:rPr>
        <w:t>；202</w:t>
      </w:r>
      <w:r>
        <w:rPr>
          <w:rFonts w:hint="eastAsia" w:eastAsia="仿宋_GB2312"/>
          <w:szCs w:val="32"/>
        </w:rPr>
        <w:t>4</w:t>
      </w:r>
      <w:r>
        <w:rPr>
          <w:rFonts w:eastAsia="仿宋_GB2312"/>
          <w:szCs w:val="32"/>
        </w:rPr>
        <w:t>年</w:t>
      </w:r>
      <w:r>
        <w:rPr>
          <w:rFonts w:hint="eastAsia" w:eastAsia="仿宋_GB2312"/>
          <w:szCs w:val="32"/>
        </w:rPr>
        <w:t>全区国有资本经营预算支出38万元，收支相抵，当年平衡。</w:t>
      </w:r>
    </w:p>
    <w:p>
      <w:pPr>
        <w:spacing w:line="600" w:lineRule="exact"/>
        <w:ind w:firstLine="630"/>
        <w:rPr>
          <w:rFonts w:eastAsia="楷体_GB2312"/>
          <w:szCs w:val="32"/>
        </w:rPr>
      </w:pPr>
      <w:r>
        <w:rPr>
          <w:rFonts w:eastAsia="楷体_GB2312"/>
          <w:szCs w:val="32"/>
        </w:rPr>
        <w:t>㈤决算变动事项</w:t>
      </w:r>
    </w:p>
    <w:p>
      <w:pPr>
        <w:spacing w:line="600" w:lineRule="exact"/>
        <w:ind w:firstLine="630"/>
        <w:rPr>
          <w:rFonts w:eastAsia="仿宋_GB2312"/>
          <w:szCs w:val="32"/>
        </w:rPr>
      </w:pPr>
      <w:r>
        <w:rPr>
          <w:rFonts w:eastAsia="仿宋_GB2312"/>
          <w:szCs w:val="32"/>
        </w:rPr>
        <w:t>由于报区第十八届人大第</w:t>
      </w:r>
      <w:r>
        <w:rPr>
          <w:rFonts w:hint="eastAsia" w:eastAsia="仿宋_GB2312"/>
          <w:szCs w:val="32"/>
        </w:rPr>
        <w:t>四</w:t>
      </w:r>
      <w:r>
        <w:rPr>
          <w:rFonts w:eastAsia="仿宋_GB2312"/>
          <w:szCs w:val="32"/>
        </w:rPr>
        <w:t>次会议审议的202</w:t>
      </w:r>
      <w:r>
        <w:rPr>
          <w:rFonts w:hint="eastAsia" w:eastAsia="仿宋_GB2312"/>
          <w:szCs w:val="32"/>
        </w:rPr>
        <w:t>4</w:t>
      </w:r>
      <w:r>
        <w:rPr>
          <w:rFonts w:eastAsia="仿宋_GB2312"/>
          <w:szCs w:val="32"/>
        </w:rPr>
        <w:t>年决算收支情况为202</w:t>
      </w:r>
      <w:r>
        <w:rPr>
          <w:rFonts w:hint="eastAsia" w:eastAsia="仿宋_GB2312"/>
          <w:szCs w:val="32"/>
        </w:rPr>
        <w:t>4</w:t>
      </w:r>
      <w:r>
        <w:rPr>
          <w:rFonts w:eastAsia="仿宋_GB2312"/>
          <w:szCs w:val="32"/>
        </w:rPr>
        <w:t>年12月的预计数，在年度预算执行完成后，地方一般公共预算收入</w:t>
      </w:r>
      <w:r>
        <w:rPr>
          <w:rFonts w:hint="eastAsia" w:eastAsia="仿宋_GB2312"/>
          <w:szCs w:val="32"/>
        </w:rPr>
        <w:t>减少3420</w:t>
      </w:r>
      <w:r>
        <w:rPr>
          <w:rFonts w:eastAsia="仿宋_GB2312"/>
          <w:szCs w:val="32"/>
        </w:rPr>
        <w:t>万元</w:t>
      </w:r>
      <w:r>
        <w:rPr>
          <w:rFonts w:hint="eastAsia" w:eastAsia="仿宋_GB2312"/>
          <w:szCs w:val="32"/>
        </w:rPr>
        <w:t>（主要是非税收入入库减少）</w:t>
      </w:r>
      <w:r>
        <w:rPr>
          <w:rFonts w:eastAsia="仿宋_GB2312"/>
          <w:szCs w:val="32"/>
        </w:rPr>
        <w:t>，上级补助收入增加</w:t>
      </w:r>
      <w:r>
        <w:rPr>
          <w:rFonts w:hint="eastAsia" w:eastAsia="仿宋_GB2312"/>
          <w:szCs w:val="32"/>
        </w:rPr>
        <w:t>8317</w:t>
      </w:r>
      <w:r>
        <w:rPr>
          <w:rFonts w:eastAsia="仿宋_GB2312"/>
          <w:szCs w:val="32"/>
        </w:rPr>
        <w:t>万元（主要是</w:t>
      </w:r>
      <w:r>
        <w:rPr>
          <w:rFonts w:hint="eastAsia" w:eastAsia="仿宋_GB2312"/>
          <w:szCs w:val="32"/>
        </w:rPr>
        <w:t>财力性转移支付补助</w:t>
      </w:r>
      <w:r>
        <w:rPr>
          <w:rFonts w:eastAsia="仿宋_GB2312"/>
          <w:szCs w:val="32"/>
        </w:rPr>
        <w:t>收入增加），一般公共预算支出</w:t>
      </w:r>
      <w:r>
        <w:rPr>
          <w:rFonts w:hint="eastAsia" w:eastAsia="仿宋_GB2312"/>
          <w:szCs w:val="32"/>
        </w:rPr>
        <w:t>增加4852</w:t>
      </w:r>
      <w:r>
        <w:rPr>
          <w:rFonts w:eastAsia="仿宋_GB2312"/>
          <w:szCs w:val="32"/>
        </w:rPr>
        <w:t>万元</w:t>
      </w:r>
      <w:r>
        <w:rPr>
          <w:rFonts w:hint="eastAsia" w:eastAsia="仿宋_GB2312"/>
          <w:szCs w:val="32"/>
        </w:rPr>
        <w:t>（主要是园区基础设施建设和机关社保收支差额补助支出增加）</w:t>
      </w:r>
      <w:r>
        <w:rPr>
          <w:rFonts w:eastAsia="仿宋_GB2312"/>
          <w:szCs w:val="32"/>
        </w:rPr>
        <w:t>。政府性基金收入</w:t>
      </w:r>
      <w:r>
        <w:rPr>
          <w:rFonts w:hint="eastAsia" w:eastAsia="仿宋_GB2312"/>
          <w:szCs w:val="32"/>
        </w:rPr>
        <w:t>减少121</w:t>
      </w:r>
      <w:r>
        <w:rPr>
          <w:rFonts w:eastAsia="仿宋_GB2312"/>
          <w:szCs w:val="32"/>
        </w:rPr>
        <w:t>万元，政府性基金支出</w:t>
      </w:r>
      <w:r>
        <w:rPr>
          <w:rFonts w:hint="eastAsia" w:eastAsia="仿宋_GB2312"/>
          <w:szCs w:val="32"/>
        </w:rPr>
        <w:t>增加5778</w:t>
      </w:r>
      <w:r>
        <w:rPr>
          <w:rFonts w:eastAsia="仿宋_GB2312"/>
          <w:szCs w:val="32"/>
        </w:rPr>
        <w:t>万元（主要是</w:t>
      </w:r>
      <w:r>
        <w:rPr>
          <w:rFonts w:hint="eastAsia" w:eastAsia="仿宋_GB2312"/>
          <w:szCs w:val="32"/>
        </w:rPr>
        <w:t>金煌能源系列资产土地及房屋收储成本支出增加</w:t>
      </w:r>
      <w:r>
        <w:rPr>
          <w:rFonts w:eastAsia="仿宋_GB2312"/>
          <w:szCs w:val="32"/>
        </w:rPr>
        <w:t>）。</w:t>
      </w:r>
    </w:p>
    <w:p>
      <w:pPr>
        <w:spacing w:line="600" w:lineRule="exact"/>
        <w:ind w:firstLine="630"/>
        <w:rPr>
          <w:rFonts w:eastAsia="黑体"/>
          <w:szCs w:val="32"/>
        </w:rPr>
      </w:pPr>
      <w:r>
        <w:rPr>
          <w:rFonts w:eastAsia="黑体"/>
          <w:szCs w:val="32"/>
        </w:rPr>
        <w:t>二、地方政府债务管理情况</w:t>
      </w:r>
    </w:p>
    <w:p>
      <w:pPr>
        <w:spacing w:line="600" w:lineRule="exact"/>
        <w:ind w:firstLine="630"/>
        <w:rPr>
          <w:rFonts w:eastAsia="仿宋_GB2312"/>
          <w:spacing w:val="-4"/>
          <w:kern w:val="32"/>
          <w:szCs w:val="32"/>
        </w:rPr>
      </w:pPr>
      <w:r>
        <w:rPr>
          <w:rFonts w:hint="eastAsia" w:eastAsia="仿宋_GB2312"/>
          <w:spacing w:val="-4"/>
          <w:kern w:val="32"/>
          <w:szCs w:val="32"/>
        </w:rPr>
        <w:t>2024年，我区严格规范政府举债融资行为，积极稳妥化解政府存量债务，防范政府债务风险，确保不因债务问题影响财政运行和政府运转。</w:t>
      </w:r>
    </w:p>
    <w:p>
      <w:pPr>
        <w:spacing w:line="600" w:lineRule="exact"/>
        <w:ind w:firstLine="630"/>
        <w:rPr>
          <w:rFonts w:eastAsia="仿宋_GB2312"/>
          <w:spacing w:val="-4"/>
          <w:kern w:val="32"/>
          <w:szCs w:val="32"/>
        </w:rPr>
      </w:pPr>
      <w:r>
        <w:rPr>
          <w:rFonts w:eastAsia="楷体_GB2312"/>
          <w:szCs w:val="32"/>
        </w:rPr>
        <w:t>㈠202</w:t>
      </w:r>
      <w:r>
        <w:rPr>
          <w:rFonts w:hint="eastAsia" w:eastAsia="楷体_GB2312"/>
          <w:szCs w:val="32"/>
        </w:rPr>
        <w:t>4</w:t>
      </w:r>
      <w:r>
        <w:rPr>
          <w:rFonts w:eastAsia="楷体_GB2312"/>
          <w:szCs w:val="32"/>
        </w:rPr>
        <w:t>年债务限额余额情况</w:t>
      </w:r>
    </w:p>
    <w:p>
      <w:pPr>
        <w:spacing w:line="600" w:lineRule="exact"/>
        <w:ind w:firstLine="630"/>
        <w:rPr>
          <w:rFonts w:eastAsia="仿宋_GB2312"/>
          <w:spacing w:val="-4"/>
          <w:kern w:val="32"/>
          <w:szCs w:val="32"/>
        </w:rPr>
      </w:pPr>
      <w:r>
        <w:rPr>
          <w:rFonts w:hint="eastAsia" w:eastAsia="仿宋_GB2312"/>
          <w:spacing w:val="-4"/>
          <w:kern w:val="32"/>
          <w:szCs w:val="32"/>
        </w:rPr>
        <w:t>2024年省财政厅核定我区政府债务限额为109.83亿元，其中：一般债务限额38.51亿元，专项债务限额71.32亿元。截至2024年底我区政府债务余额108.03亿元，其中：一般债务余额37.13亿元，专项债务余额70.9亿元，均控制在省财政厅批准的债务限额之内。</w:t>
      </w:r>
    </w:p>
    <w:p>
      <w:pPr>
        <w:spacing w:line="600" w:lineRule="exact"/>
        <w:ind w:firstLine="630"/>
        <w:rPr>
          <w:rFonts w:eastAsia="楷体_GB2312"/>
          <w:szCs w:val="32"/>
        </w:rPr>
      </w:pPr>
      <w:r>
        <w:rPr>
          <w:rFonts w:eastAsia="楷体_GB2312"/>
          <w:szCs w:val="32"/>
        </w:rPr>
        <w:t>㈡202</w:t>
      </w:r>
      <w:r>
        <w:rPr>
          <w:rFonts w:hint="eastAsia" w:eastAsia="楷体_GB2312"/>
          <w:szCs w:val="32"/>
        </w:rPr>
        <w:t>4</w:t>
      </w:r>
      <w:r>
        <w:rPr>
          <w:rFonts w:eastAsia="楷体_GB2312"/>
          <w:szCs w:val="32"/>
        </w:rPr>
        <w:t>年债券资金</w:t>
      </w:r>
      <w:r>
        <w:rPr>
          <w:rFonts w:hint="eastAsia" w:eastAsia="楷体_GB2312"/>
          <w:szCs w:val="32"/>
        </w:rPr>
        <w:t>安排</w:t>
      </w:r>
      <w:r>
        <w:rPr>
          <w:rFonts w:eastAsia="楷体_GB2312"/>
          <w:szCs w:val="32"/>
        </w:rPr>
        <w:t>情况</w:t>
      </w:r>
    </w:p>
    <w:p>
      <w:pPr>
        <w:spacing w:line="600" w:lineRule="exact"/>
        <w:ind w:firstLine="630"/>
        <w:rPr>
          <w:rFonts w:eastAsia="仿宋_GB2312"/>
          <w:spacing w:val="-4"/>
          <w:kern w:val="32"/>
          <w:szCs w:val="32"/>
        </w:rPr>
      </w:pPr>
      <w:r>
        <w:rPr>
          <w:rFonts w:hint="eastAsia" w:eastAsia="仿宋_GB2312"/>
          <w:spacing w:val="-4"/>
          <w:kern w:val="32"/>
          <w:szCs w:val="32"/>
        </w:rPr>
        <w:t>2024年我区共争取到新增债券资金1.68亿元，其中：一般债券0.92亿元，用于三明沙县城南初级中学学生食宿楼建设项目0.06亿元、沙县教育补短板工程基础设施建设项目0.48亿元、沙县区城区市政基础设施建设项目0.08亿元、大洲古渡至府前西路道路连接线项目0.03亿元、福建省三明市沙县区马岩水库0.2亿元、沙县区双山花园西侧A地块周边路网工程0.07亿元；专项债券0.76亿元，用于沙县区东门片老旧小区及基础配套设施改造项目0.015亿元、三明市沙县区冷链物流建设项目0.33亿元、沙县区水域环境综合治理项目0.25亿元（补充政府性基金财力专项债券）、沙县区城区污水处理提升改造工程0.16亿元（补充政府性基金财力专项债券）。</w:t>
      </w:r>
    </w:p>
    <w:p>
      <w:pPr>
        <w:spacing w:line="600" w:lineRule="exact"/>
        <w:ind w:firstLine="630"/>
        <w:rPr>
          <w:rFonts w:eastAsia="仿宋_GB2312"/>
          <w:spacing w:val="-4"/>
          <w:kern w:val="32"/>
          <w:szCs w:val="32"/>
        </w:rPr>
      </w:pPr>
      <w:r>
        <w:rPr>
          <w:rFonts w:hint="eastAsia" w:eastAsia="仿宋_GB2312"/>
          <w:spacing w:val="-4"/>
          <w:kern w:val="32"/>
          <w:szCs w:val="32"/>
        </w:rPr>
        <w:t>2024年共争取到再融资债券资金10.02亿元，其中：用于置换到期债券资金4.84亿元，用于政策性化解存量隐性债务资金4.03亿元，用于消化暂付款1.15亿元。以上债券资金有效解决我区项目建设资金压力及缓解到期债务偿还压力。</w:t>
      </w:r>
    </w:p>
    <w:p>
      <w:pPr>
        <w:spacing w:line="600" w:lineRule="exact"/>
        <w:ind w:firstLine="630"/>
        <w:rPr>
          <w:rFonts w:eastAsia="黑体"/>
          <w:szCs w:val="32"/>
        </w:rPr>
      </w:pPr>
      <w:r>
        <w:rPr>
          <w:rFonts w:eastAsia="黑体"/>
          <w:szCs w:val="32"/>
        </w:rPr>
        <w:t>三、202</w:t>
      </w:r>
      <w:r>
        <w:rPr>
          <w:rFonts w:hint="eastAsia" w:eastAsia="黑体"/>
          <w:szCs w:val="32"/>
        </w:rPr>
        <w:t>4</w:t>
      </w:r>
      <w:r>
        <w:rPr>
          <w:rFonts w:eastAsia="黑体"/>
          <w:szCs w:val="32"/>
        </w:rPr>
        <w:t>年财政工作主要成效</w:t>
      </w:r>
    </w:p>
    <w:p>
      <w:pPr>
        <w:spacing w:line="600" w:lineRule="exact"/>
        <w:ind w:firstLine="630"/>
        <w:rPr>
          <w:rFonts w:eastAsia="楷体_GB2312"/>
          <w:szCs w:val="32"/>
        </w:rPr>
      </w:pPr>
      <w:r>
        <w:rPr>
          <w:rFonts w:hint="eastAsia" w:eastAsia="楷体_GB2312"/>
          <w:szCs w:val="32"/>
        </w:rPr>
        <w:t>㈠统筹加力，财政综合保障能力稳步提升</w:t>
      </w:r>
    </w:p>
    <w:p>
      <w:pPr>
        <w:spacing w:line="600" w:lineRule="exact"/>
        <w:ind w:firstLine="630"/>
        <w:rPr>
          <w:rFonts w:eastAsia="仿宋_GB2312"/>
          <w:spacing w:val="-4"/>
          <w:kern w:val="32"/>
          <w:szCs w:val="32"/>
        </w:rPr>
      </w:pPr>
      <w:r>
        <w:rPr>
          <w:rFonts w:hint="eastAsia" w:eastAsia="仿宋_GB2312"/>
          <w:spacing w:val="-4"/>
          <w:kern w:val="32"/>
          <w:szCs w:val="32"/>
        </w:rPr>
        <w:t>今年以来，紧扣全年财政收支目标，在组织收入上着力，在保障重点上发力，加速释放财政资金效能，不断增强服务保障能力，为我区发展提供坚实财力。一是财政收支平稳运行。坚持围绕中心、服务大局，把各类资金资产全面统筹起来，全力保障重大战略实施，优先保障基层“三保”、债券还本付息、重点项目建设等支出，充分发挥资金使用效益，促进经济社会事业全面发展。二是协同发力争取政策资金。紧盯中央省市政策导向和资金安排，纵向联动，横向协同，形成合力，全力争取政策性资金，全年累计争取上级补助资金14.93亿元，其中，超长期特别国债资金2.24亿元，为全区经济社会发展增添后劲。三是加力盘活国有“三资”。定期开展闲置沉淀资金、低效无效资金和预算结余资金“三项清理”，及时清理收回结余结转指标4.9亿元，收回专户资金0.7亿元；对沙县区行政事业单位及国有企业建筑屋顶分布式光伏资源开发利用项目、城区农贸市场盘活租赁项目、三明动车北站站前广场项目等4处资产进行盘活，累计盘活资金6.3亿元，实现盘活存量增收。</w:t>
      </w:r>
    </w:p>
    <w:p>
      <w:pPr>
        <w:spacing w:line="600" w:lineRule="exact"/>
        <w:ind w:firstLine="630"/>
        <w:rPr>
          <w:rFonts w:eastAsia="楷体_GB2312"/>
          <w:szCs w:val="32"/>
        </w:rPr>
      </w:pPr>
      <w:r>
        <w:rPr>
          <w:rFonts w:hint="eastAsia" w:eastAsia="楷体_GB2312"/>
          <w:szCs w:val="32"/>
        </w:rPr>
        <w:t>㈡铆足全力，护航社会经济高质量发展</w:t>
      </w:r>
    </w:p>
    <w:p>
      <w:pPr>
        <w:spacing w:line="600" w:lineRule="exact"/>
        <w:ind w:firstLine="630"/>
        <w:rPr>
          <w:rFonts w:eastAsia="仿宋_GB2312"/>
          <w:spacing w:val="-4"/>
          <w:kern w:val="32"/>
          <w:szCs w:val="32"/>
        </w:rPr>
      </w:pPr>
      <w:r>
        <w:rPr>
          <w:rFonts w:hint="eastAsia" w:eastAsia="仿宋_GB2312"/>
          <w:spacing w:val="-4"/>
          <w:kern w:val="32"/>
          <w:szCs w:val="32"/>
        </w:rPr>
        <w:t>一是推动普惠金融发展。充分发挥财政资金杠杆作用，强化金融产品支持，优化金融政策供给，打造优质融资环境，积极探索普惠金融新路径，制定《普惠金融发展示范区工作实施细则》，成功申报中央财政支持普惠金融发展示范区，获补助1000万元，为我区普惠金融发展提供有力支持；落实创业担保贷款贴息政策，为中小微企业提供低成本的创业、融资增效服务，发放创业担保贷款1050万元，促进中小企业加快发展。二是精准落实产业支持政策。认真落实一揽子稳经济政策，惠企助企双向发力，全年下达惠企补助资金4035万元，支持企业转型升级和项目提升改造，进一步促进我区实体经济壮大发展。三是支持城乡融合发展。进一步补齐我区城乡基础设施和公共服务不健全等短板弱项，推动城乡协调发展。全年累计下达2.22亿元，用于城乡建设品质提升和农村公共基础设施管护等，有效推进城乡人居环境、农村路网建设与养护、城乡生活交通、海绵城市建设、智慧生活垃圾分类等工作。四是全力守好三农“压舱石”。安排乡村振兴资金6286万元、农村综合改革资金3560万元，全力保障粮食安全生产，巩固拓展脱贫攻坚成果，发展壮大乡村特色产业，扎实推进乡村建设和生态文明建设，支持农村公益事业发展等工作。</w:t>
      </w:r>
    </w:p>
    <w:p>
      <w:pPr>
        <w:spacing w:line="600" w:lineRule="exact"/>
        <w:ind w:firstLine="630"/>
        <w:rPr>
          <w:rFonts w:ascii="方正楷体_GBK" w:hAnsi="方正楷体_GBK" w:eastAsia="方正楷体_GBK" w:cs="方正楷体_GBK"/>
          <w:b/>
          <w:sz w:val="36"/>
          <w:szCs w:val="36"/>
        </w:rPr>
      </w:pPr>
      <w:r>
        <w:rPr>
          <w:rFonts w:hint="eastAsia" w:eastAsia="楷体_GB2312"/>
          <w:szCs w:val="32"/>
        </w:rPr>
        <w:t>㈢用心用力，保障民生福祉持续增进</w:t>
      </w:r>
    </w:p>
    <w:p>
      <w:pPr>
        <w:spacing w:line="600" w:lineRule="exact"/>
        <w:ind w:firstLine="630"/>
        <w:rPr>
          <w:rFonts w:ascii="仿宋_GB2312" w:hAnsi="仿宋_GB2312" w:eastAsia="仿宋_GB2312" w:cs="仿宋_GB2312"/>
          <w:bCs/>
          <w:sz w:val="36"/>
          <w:szCs w:val="36"/>
        </w:rPr>
      </w:pPr>
      <w:r>
        <w:rPr>
          <w:rFonts w:hint="eastAsia" w:eastAsia="仿宋_GB2312"/>
          <w:spacing w:val="-4"/>
          <w:kern w:val="32"/>
          <w:szCs w:val="32"/>
        </w:rPr>
        <w:t>始终牢记党的宗旨，践行初心使命，把群众“盼的事”变成财政“支持的事”，着力加强基础性、普惠性、兜底性民生建设，办好民生实事，让人民群众真真切切看得见、摸得着、可感知。全年民生支出24.26亿元，占一般公共预算支出79.91%。一是落实教育“两个只增不减”，不断提升教育保障能力水平，全区教育支出6.85亿元，教育质量、办学条件、师资力量、校园安全得到进一步提升，有效促进各类教育均衡优质发展。二是持续健全社会和就业保障机制，拨付4.53亿元，主要用于支持多层次的社会保障体系，落实城乡低保、特困人员救助等政策，支持稳岗就业等，不断织密社会保障网。三是提高公共卫生服务水平，投入补助资金3243万元，支持全面实施基本公共卫生服务项目，促进公立医院改革，推进医改工作纵深发展，安排479万元，用于发放公立医院党委书记、院长、总会计师、中医药人员年薪工资等，进一步深化薪酬制度改革。四是推动生态文明建设走深走实，深化国家生态文明建设，全力抓好山水林田湖草沙一体化保护和系统治理，获得国家生态文明试验区补助资金4135万元，落实生态环境环保考核，安排629万元，支持打赢蓝天保卫战。</w:t>
      </w:r>
      <w:r>
        <w:rPr>
          <w:rFonts w:hint="eastAsia" w:ascii="仿宋_GB2312" w:hAnsi="仿宋_GB2312" w:eastAsia="仿宋_GB2312" w:cs="仿宋_GB2312"/>
          <w:bCs/>
          <w:sz w:val="36"/>
          <w:szCs w:val="36"/>
        </w:rPr>
        <w:t xml:space="preserve"> </w:t>
      </w:r>
    </w:p>
    <w:p>
      <w:pPr>
        <w:spacing w:line="600" w:lineRule="exact"/>
        <w:ind w:firstLine="630"/>
        <w:rPr>
          <w:rFonts w:eastAsia="楷体_GB2312"/>
          <w:szCs w:val="32"/>
        </w:rPr>
      </w:pPr>
      <w:r>
        <w:rPr>
          <w:rFonts w:hint="eastAsia" w:eastAsia="楷体_GB2312"/>
          <w:szCs w:val="32"/>
        </w:rPr>
        <w:t>㈣聚焦聚力，深化财政管理提质增效</w:t>
      </w:r>
    </w:p>
    <w:p>
      <w:pPr>
        <w:spacing w:line="600" w:lineRule="exact"/>
        <w:ind w:firstLine="630"/>
        <w:rPr>
          <w:rFonts w:eastAsia="仿宋_GB2312"/>
          <w:spacing w:val="-4"/>
          <w:kern w:val="32"/>
          <w:szCs w:val="32"/>
        </w:rPr>
      </w:pPr>
      <w:r>
        <w:rPr>
          <w:rFonts w:hint="eastAsia" w:eastAsia="仿宋_GB2312"/>
          <w:spacing w:val="-4"/>
          <w:kern w:val="32"/>
          <w:szCs w:val="32"/>
        </w:rPr>
        <w:t>一是全面推进预算绩效管理。以绩效为导向，深化部门整体支出、项目支出绩效评价，构建绩效目标、执行监控、结果运用的全方位绩效管理机制，做到“无绩效不预算”，2024年纳入预算绩效管理项目174个，涉及财政资金4.41亿元。二是持续优化政府采购营商环境。充分发挥政府采购政策功能，不断加大政府采购力度，改进和加强政府采购监管工作，我区各单位通过福建省政府采购网实际采购金额6599万元，比预算金额节约资金979万元。三是强化财政库款监测管理。依托预算管理一体化系统，对我区财政收支、“三保”及其他刚性支出、库款保障等进行系统监测，通过自动取数、自动评估、自动监测，实现“三保”预算和执行源头监测。建立通报提醒制度，分月度、季度动态监控“三保”执行进度、库款保障水平、暂付款消化等风险指标，确保风险早发现、早报告、早处置。四是严把财政投资项目评审关。坚持“不唯增、不唯减、只为实”的评审理念，强化管理手段，完善工作机制，为政府投资建设项目把好关口。全年完成预算审核项目31个，累计审核金额6.98亿元，审减金额6735万元，审减率9.66%；完成结算审核项目13个，累计审核金额1.66亿元，审减金额1265万元，审减率7.64%。</w:t>
      </w:r>
    </w:p>
    <w:p>
      <w:pPr>
        <w:spacing w:line="600" w:lineRule="exact"/>
        <w:ind w:firstLine="630"/>
        <w:rPr>
          <w:rFonts w:eastAsia="楷体_GB2312"/>
          <w:szCs w:val="32"/>
        </w:rPr>
      </w:pPr>
      <w:r>
        <w:rPr>
          <w:rFonts w:hint="eastAsia" w:eastAsia="楷体_GB2312"/>
          <w:szCs w:val="32"/>
        </w:rPr>
        <w:t>㈤筑牢合力，有效防范化解风险</w:t>
      </w:r>
    </w:p>
    <w:p>
      <w:pPr>
        <w:spacing w:line="600" w:lineRule="exact"/>
        <w:ind w:firstLine="630"/>
        <w:rPr>
          <w:rFonts w:eastAsia="仿宋_GB2312"/>
          <w:spacing w:val="-4"/>
          <w:kern w:val="32"/>
          <w:szCs w:val="32"/>
        </w:rPr>
      </w:pPr>
      <w:r>
        <w:rPr>
          <w:rFonts w:hint="eastAsia" w:eastAsia="仿宋_GB2312"/>
          <w:spacing w:val="-4"/>
          <w:kern w:val="32"/>
          <w:szCs w:val="32"/>
        </w:rPr>
        <w:t>坚持筑牢安全防线，不断巩固和提升防范化解风险成果，强化风险预警、防控机制和能力建设。一是严格防范“三保”风险、债务风险、基层财政运行风险，坚持守住底线，确保财政运行安全。二是坚持将政府债务的还本付息和隐性债务的化解纳入年初预算，强化财政资源统筹力度，制定全区防范化解债务风险一揽子方案，统筹好地方债务风险化解和稳定发展，坚决遏制增量、化解存量，牢牢守住不发生区域性、系统性风险底线。三是加强政府专项债券项目储备，严格政府债务监管，合理控制债务规模，多措并举强化债务风险防控。四是加强财会监督力度。重点聚焦老旧小区“点题整治”、整治群众身边不正之风和腐败问题、“三公”经费、会计信息质量检查等，强化跟踪问效，硬化财经纪律约束，规范财经秩序，提高资金使用效益。</w:t>
      </w:r>
    </w:p>
    <w:p>
      <w:pPr>
        <w:spacing w:line="600" w:lineRule="exact"/>
        <w:ind w:firstLine="630"/>
        <w:rPr>
          <w:rFonts w:eastAsia="黑体"/>
          <w:szCs w:val="32"/>
        </w:rPr>
      </w:pPr>
      <w:r>
        <w:rPr>
          <w:rFonts w:eastAsia="黑体"/>
          <w:szCs w:val="32"/>
        </w:rPr>
        <w:t>四、全区重点支出情况</w:t>
      </w:r>
    </w:p>
    <w:p>
      <w:pPr>
        <w:spacing w:line="600" w:lineRule="exact"/>
        <w:ind w:firstLine="630"/>
        <w:rPr>
          <w:rFonts w:eastAsia="仿宋_GB2312"/>
          <w:spacing w:val="-4"/>
          <w:kern w:val="32"/>
          <w:szCs w:val="32"/>
        </w:rPr>
      </w:pPr>
      <w:r>
        <w:rPr>
          <w:rFonts w:eastAsia="仿宋_GB2312"/>
          <w:spacing w:val="-4"/>
          <w:kern w:val="32"/>
          <w:szCs w:val="32"/>
        </w:rPr>
        <w:t>202</w:t>
      </w:r>
      <w:r>
        <w:rPr>
          <w:rFonts w:hint="eastAsia" w:eastAsia="仿宋_GB2312"/>
          <w:spacing w:val="-4"/>
          <w:kern w:val="32"/>
          <w:szCs w:val="32"/>
        </w:rPr>
        <w:t>4</w:t>
      </w:r>
      <w:r>
        <w:rPr>
          <w:rFonts w:eastAsia="仿宋_GB2312"/>
          <w:spacing w:val="-4"/>
          <w:kern w:val="32"/>
          <w:szCs w:val="32"/>
        </w:rPr>
        <w:t>年，我区预算支出安排紧紧围绕区委、区政府中心工作，积极发挥财政职能，强化预算执行约束，调整优化支出结构，统筹安排各类资金，确保区委、区政府确定的各项民生项目有序推进。</w:t>
      </w:r>
    </w:p>
    <w:p>
      <w:pPr>
        <w:spacing w:line="600" w:lineRule="exact"/>
        <w:ind w:firstLine="630"/>
        <w:rPr>
          <w:rFonts w:eastAsia="仿宋_GB2312"/>
          <w:spacing w:val="-4"/>
          <w:kern w:val="32"/>
          <w:szCs w:val="32"/>
        </w:rPr>
      </w:pPr>
      <w:r>
        <w:rPr>
          <w:rFonts w:eastAsia="楷体_GB2312"/>
          <w:szCs w:val="32"/>
        </w:rPr>
        <w:t>㈠教育支出：</w:t>
      </w:r>
      <w:r>
        <w:rPr>
          <w:rFonts w:eastAsia="仿宋_GB2312"/>
          <w:spacing w:val="-4"/>
          <w:kern w:val="32"/>
          <w:szCs w:val="32"/>
        </w:rPr>
        <w:t>202</w:t>
      </w:r>
      <w:r>
        <w:rPr>
          <w:rFonts w:hint="eastAsia" w:eastAsia="仿宋_GB2312"/>
          <w:spacing w:val="-4"/>
          <w:kern w:val="32"/>
          <w:szCs w:val="32"/>
        </w:rPr>
        <w:t>4</w:t>
      </w:r>
      <w:r>
        <w:rPr>
          <w:rFonts w:eastAsia="仿宋_GB2312"/>
          <w:spacing w:val="-4"/>
          <w:kern w:val="32"/>
          <w:szCs w:val="32"/>
        </w:rPr>
        <w:t>年教育支出</w:t>
      </w:r>
      <w:r>
        <w:rPr>
          <w:rFonts w:hint="eastAsia" w:eastAsia="仿宋_GB2312"/>
          <w:spacing w:val="-4"/>
          <w:kern w:val="32"/>
          <w:szCs w:val="32"/>
        </w:rPr>
        <w:t>68530万元，</w:t>
      </w:r>
      <w:r>
        <w:rPr>
          <w:rFonts w:eastAsia="仿宋_GB2312"/>
          <w:spacing w:val="-4"/>
          <w:kern w:val="32"/>
          <w:szCs w:val="32"/>
        </w:rPr>
        <w:t>比上年同期增支</w:t>
      </w:r>
      <w:r>
        <w:rPr>
          <w:rFonts w:hint="eastAsia" w:eastAsia="仿宋_GB2312"/>
          <w:spacing w:val="-4"/>
          <w:kern w:val="32"/>
          <w:szCs w:val="32"/>
        </w:rPr>
        <w:t>464</w:t>
      </w:r>
      <w:r>
        <w:rPr>
          <w:rFonts w:eastAsia="仿宋_GB2312"/>
          <w:spacing w:val="-4"/>
          <w:kern w:val="32"/>
          <w:szCs w:val="32"/>
        </w:rPr>
        <w:t>万元，增长</w:t>
      </w:r>
      <w:r>
        <w:rPr>
          <w:rFonts w:hint="eastAsia" w:eastAsia="仿宋_GB2312"/>
          <w:spacing w:val="-4"/>
          <w:kern w:val="32"/>
          <w:szCs w:val="32"/>
        </w:rPr>
        <w:t>0.68</w:t>
      </w:r>
      <w:r>
        <w:rPr>
          <w:rFonts w:eastAsia="仿宋_GB2312"/>
          <w:spacing w:val="-4"/>
          <w:kern w:val="32"/>
          <w:szCs w:val="32"/>
        </w:rPr>
        <w:t>%</w:t>
      </w:r>
      <w:r>
        <w:rPr>
          <w:rFonts w:hint="eastAsia" w:eastAsia="仿宋_GB2312"/>
          <w:spacing w:val="-4"/>
          <w:kern w:val="32"/>
          <w:szCs w:val="32"/>
        </w:rPr>
        <w:t>，与上年基本持平</w:t>
      </w:r>
      <w:r>
        <w:rPr>
          <w:rFonts w:eastAsia="仿宋_GB2312"/>
          <w:spacing w:val="-4"/>
          <w:kern w:val="32"/>
          <w:szCs w:val="32"/>
        </w:rPr>
        <w:t xml:space="preserve">。 </w:t>
      </w:r>
    </w:p>
    <w:p>
      <w:pPr>
        <w:spacing w:line="600" w:lineRule="exact"/>
        <w:ind w:firstLine="630"/>
        <w:rPr>
          <w:rFonts w:eastAsia="仿宋_GB2312"/>
          <w:spacing w:val="-4"/>
          <w:kern w:val="32"/>
          <w:szCs w:val="32"/>
        </w:rPr>
      </w:pPr>
      <w:r>
        <w:rPr>
          <w:rFonts w:eastAsia="楷体_GB2312"/>
          <w:szCs w:val="32"/>
        </w:rPr>
        <w:t>㈡社会保障和就业支出：</w:t>
      </w:r>
      <w:r>
        <w:rPr>
          <w:rFonts w:eastAsia="仿宋_GB2312"/>
          <w:spacing w:val="-4"/>
          <w:kern w:val="32"/>
          <w:szCs w:val="32"/>
        </w:rPr>
        <w:t>202</w:t>
      </w:r>
      <w:r>
        <w:rPr>
          <w:rFonts w:hint="eastAsia" w:eastAsia="仿宋_GB2312"/>
          <w:spacing w:val="-4"/>
          <w:kern w:val="32"/>
          <w:szCs w:val="32"/>
        </w:rPr>
        <w:t>4</w:t>
      </w:r>
      <w:r>
        <w:rPr>
          <w:rFonts w:eastAsia="仿宋_GB2312"/>
          <w:spacing w:val="-4"/>
          <w:kern w:val="32"/>
          <w:szCs w:val="32"/>
        </w:rPr>
        <w:t>年社会保障和就业支出</w:t>
      </w:r>
      <w:r>
        <w:rPr>
          <w:rFonts w:hint="eastAsia" w:eastAsia="仿宋_GB2312"/>
          <w:spacing w:val="-4"/>
          <w:kern w:val="32"/>
          <w:szCs w:val="32"/>
        </w:rPr>
        <w:t>45312万元，</w:t>
      </w:r>
      <w:r>
        <w:rPr>
          <w:rFonts w:eastAsia="仿宋_GB2312"/>
          <w:spacing w:val="-4"/>
          <w:kern w:val="32"/>
          <w:szCs w:val="32"/>
        </w:rPr>
        <w:t>比上年同期</w:t>
      </w:r>
      <w:r>
        <w:rPr>
          <w:rFonts w:hint="eastAsia" w:eastAsia="仿宋_GB2312"/>
          <w:spacing w:val="-4"/>
          <w:kern w:val="32"/>
          <w:szCs w:val="32"/>
        </w:rPr>
        <w:t>增</w:t>
      </w:r>
      <w:r>
        <w:rPr>
          <w:rFonts w:eastAsia="仿宋_GB2312"/>
          <w:spacing w:val="-4"/>
          <w:kern w:val="32"/>
          <w:szCs w:val="32"/>
        </w:rPr>
        <w:t>支</w:t>
      </w:r>
      <w:r>
        <w:rPr>
          <w:rFonts w:hint="eastAsia" w:eastAsia="仿宋_GB2312"/>
          <w:spacing w:val="-4"/>
          <w:kern w:val="32"/>
          <w:szCs w:val="32"/>
        </w:rPr>
        <w:t>3539</w:t>
      </w:r>
      <w:r>
        <w:rPr>
          <w:rFonts w:eastAsia="仿宋_GB2312"/>
          <w:spacing w:val="-4"/>
          <w:kern w:val="32"/>
          <w:szCs w:val="32"/>
        </w:rPr>
        <w:t>万元，增长</w:t>
      </w:r>
      <w:r>
        <w:rPr>
          <w:rFonts w:hint="eastAsia" w:eastAsia="仿宋_GB2312"/>
          <w:spacing w:val="-4"/>
          <w:kern w:val="32"/>
          <w:szCs w:val="32"/>
        </w:rPr>
        <w:t>8.74</w:t>
      </w:r>
      <w:r>
        <w:rPr>
          <w:rFonts w:eastAsia="仿宋_GB2312"/>
          <w:spacing w:val="-4"/>
          <w:kern w:val="32"/>
          <w:szCs w:val="32"/>
        </w:rPr>
        <w:t>%，</w:t>
      </w:r>
      <w:r>
        <w:rPr>
          <w:rFonts w:hint="eastAsia" w:eastAsia="仿宋_GB2312"/>
          <w:spacing w:val="-4"/>
          <w:kern w:val="32"/>
          <w:szCs w:val="32"/>
        </w:rPr>
        <w:t>主要是机关社保收支差额补助增加</w:t>
      </w:r>
      <w:r>
        <w:rPr>
          <w:rFonts w:eastAsia="仿宋_GB2312"/>
          <w:spacing w:val="-4"/>
          <w:kern w:val="32"/>
          <w:szCs w:val="32"/>
        </w:rPr>
        <w:t>。</w:t>
      </w:r>
    </w:p>
    <w:p>
      <w:pPr>
        <w:spacing w:line="600" w:lineRule="exact"/>
        <w:ind w:firstLine="630"/>
        <w:rPr>
          <w:rFonts w:eastAsia="仿宋_GB2312"/>
          <w:spacing w:val="-4"/>
          <w:kern w:val="32"/>
          <w:szCs w:val="32"/>
        </w:rPr>
      </w:pPr>
      <w:r>
        <w:rPr>
          <w:rFonts w:eastAsia="楷体_GB2312"/>
          <w:szCs w:val="32"/>
        </w:rPr>
        <w:t>㈢卫生健康支出：</w:t>
      </w:r>
      <w:r>
        <w:rPr>
          <w:rFonts w:eastAsia="仿宋_GB2312"/>
          <w:spacing w:val="-4"/>
          <w:kern w:val="32"/>
          <w:szCs w:val="32"/>
        </w:rPr>
        <w:t>202</w:t>
      </w:r>
      <w:r>
        <w:rPr>
          <w:rFonts w:hint="eastAsia" w:eastAsia="仿宋_GB2312"/>
          <w:spacing w:val="-4"/>
          <w:kern w:val="32"/>
          <w:szCs w:val="32"/>
        </w:rPr>
        <w:t>4</w:t>
      </w:r>
      <w:r>
        <w:rPr>
          <w:rFonts w:eastAsia="仿宋_GB2312"/>
          <w:spacing w:val="-4"/>
          <w:kern w:val="32"/>
          <w:szCs w:val="32"/>
        </w:rPr>
        <w:t>年卫生健康支出</w:t>
      </w:r>
      <w:r>
        <w:rPr>
          <w:rFonts w:hint="eastAsia" w:eastAsia="仿宋_GB2312"/>
          <w:spacing w:val="-4"/>
          <w:kern w:val="32"/>
          <w:szCs w:val="32"/>
        </w:rPr>
        <w:t>23144万元，</w:t>
      </w:r>
      <w:r>
        <w:rPr>
          <w:rFonts w:eastAsia="仿宋_GB2312"/>
          <w:spacing w:val="-4"/>
          <w:kern w:val="32"/>
          <w:szCs w:val="32"/>
        </w:rPr>
        <w:t>比上年同期</w:t>
      </w:r>
      <w:r>
        <w:rPr>
          <w:rFonts w:hint="eastAsia" w:eastAsia="仿宋_GB2312"/>
          <w:spacing w:val="-4"/>
          <w:kern w:val="32"/>
          <w:szCs w:val="32"/>
        </w:rPr>
        <w:t>减</w:t>
      </w:r>
      <w:r>
        <w:rPr>
          <w:rFonts w:eastAsia="仿宋_GB2312"/>
          <w:spacing w:val="-4"/>
          <w:kern w:val="32"/>
          <w:szCs w:val="32"/>
        </w:rPr>
        <w:t>支</w:t>
      </w:r>
      <w:r>
        <w:rPr>
          <w:rFonts w:hint="eastAsia" w:eastAsia="仿宋_GB2312"/>
          <w:spacing w:val="-4"/>
          <w:kern w:val="32"/>
          <w:szCs w:val="32"/>
        </w:rPr>
        <w:t>50</w:t>
      </w:r>
      <w:r>
        <w:rPr>
          <w:rFonts w:eastAsia="仿宋_GB2312"/>
          <w:spacing w:val="-4"/>
          <w:kern w:val="32"/>
          <w:szCs w:val="32"/>
        </w:rPr>
        <w:t>万元，</w:t>
      </w:r>
      <w:r>
        <w:rPr>
          <w:rFonts w:hint="eastAsia" w:eastAsia="仿宋_GB2312"/>
          <w:spacing w:val="-4"/>
          <w:kern w:val="32"/>
          <w:szCs w:val="32"/>
        </w:rPr>
        <w:t>下降0.22</w:t>
      </w:r>
      <w:r>
        <w:rPr>
          <w:rFonts w:eastAsia="仿宋_GB2312"/>
          <w:spacing w:val="-4"/>
          <w:kern w:val="32"/>
          <w:szCs w:val="32"/>
        </w:rPr>
        <w:t>%，</w:t>
      </w:r>
      <w:r>
        <w:rPr>
          <w:rFonts w:hint="eastAsia" w:eastAsia="仿宋_GB2312"/>
          <w:spacing w:val="-4"/>
          <w:kern w:val="32"/>
          <w:szCs w:val="32"/>
        </w:rPr>
        <w:t>与上年基本持平</w:t>
      </w:r>
      <w:r>
        <w:rPr>
          <w:rFonts w:eastAsia="仿宋_GB2312"/>
          <w:spacing w:val="-4"/>
          <w:kern w:val="32"/>
          <w:szCs w:val="32"/>
        </w:rPr>
        <w:t>。</w:t>
      </w:r>
    </w:p>
    <w:p>
      <w:pPr>
        <w:spacing w:line="600" w:lineRule="exact"/>
        <w:ind w:firstLine="630"/>
        <w:rPr>
          <w:rFonts w:eastAsia="仿宋_GB2312"/>
          <w:spacing w:val="-4"/>
          <w:kern w:val="32"/>
          <w:szCs w:val="32"/>
        </w:rPr>
      </w:pPr>
      <w:r>
        <w:rPr>
          <w:rFonts w:eastAsia="楷体_GB2312"/>
          <w:szCs w:val="32"/>
        </w:rPr>
        <w:t>㈣城乡社区支出：</w:t>
      </w:r>
      <w:r>
        <w:rPr>
          <w:rFonts w:eastAsia="仿宋_GB2312"/>
          <w:spacing w:val="-4"/>
          <w:kern w:val="32"/>
          <w:szCs w:val="32"/>
        </w:rPr>
        <w:t>202</w:t>
      </w:r>
      <w:r>
        <w:rPr>
          <w:rFonts w:hint="eastAsia" w:eastAsia="仿宋_GB2312"/>
          <w:spacing w:val="-4"/>
          <w:kern w:val="32"/>
          <w:szCs w:val="32"/>
        </w:rPr>
        <w:t>4</w:t>
      </w:r>
      <w:r>
        <w:rPr>
          <w:rFonts w:eastAsia="仿宋_GB2312"/>
          <w:spacing w:val="-4"/>
          <w:kern w:val="32"/>
          <w:szCs w:val="32"/>
        </w:rPr>
        <w:t>年城乡社区事务支出</w:t>
      </w:r>
      <w:r>
        <w:rPr>
          <w:rFonts w:hint="eastAsia" w:eastAsia="仿宋_GB2312"/>
          <w:spacing w:val="-4"/>
          <w:kern w:val="32"/>
          <w:szCs w:val="32"/>
        </w:rPr>
        <w:t>35127万元，</w:t>
      </w:r>
      <w:r>
        <w:rPr>
          <w:rFonts w:eastAsia="仿宋_GB2312"/>
          <w:spacing w:val="-4"/>
          <w:kern w:val="32"/>
          <w:szCs w:val="32"/>
        </w:rPr>
        <w:t>比上年同期</w:t>
      </w:r>
      <w:r>
        <w:rPr>
          <w:rFonts w:hint="eastAsia" w:eastAsia="仿宋_GB2312"/>
          <w:spacing w:val="-4"/>
          <w:kern w:val="32"/>
          <w:szCs w:val="32"/>
        </w:rPr>
        <w:t>增</w:t>
      </w:r>
      <w:r>
        <w:rPr>
          <w:rFonts w:eastAsia="仿宋_GB2312"/>
          <w:spacing w:val="-4"/>
          <w:kern w:val="32"/>
          <w:szCs w:val="32"/>
        </w:rPr>
        <w:t>支</w:t>
      </w:r>
      <w:r>
        <w:rPr>
          <w:rFonts w:hint="eastAsia" w:eastAsia="仿宋_GB2312"/>
          <w:spacing w:val="-4"/>
          <w:kern w:val="32"/>
          <w:szCs w:val="32"/>
        </w:rPr>
        <w:t>6977</w:t>
      </w:r>
      <w:r>
        <w:rPr>
          <w:rFonts w:eastAsia="仿宋_GB2312"/>
          <w:spacing w:val="-4"/>
          <w:kern w:val="32"/>
          <w:szCs w:val="32"/>
        </w:rPr>
        <w:t>万元，</w:t>
      </w:r>
      <w:r>
        <w:rPr>
          <w:rFonts w:hint="eastAsia" w:eastAsia="仿宋_GB2312"/>
          <w:spacing w:val="-4"/>
          <w:kern w:val="32"/>
          <w:szCs w:val="32"/>
        </w:rPr>
        <w:t>增长24.79</w:t>
      </w:r>
      <w:r>
        <w:rPr>
          <w:rFonts w:eastAsia="仿宋_GB2312"/>
          <w:spacing w:val="-4"/>
          <w:kern w:val="32"/>
          <w:szCs w:val="32"/>
        </w:rPr>
        <w:t>%，主要是</w:t>
      </w:r>
      <w:r>
        <w:rPr>
          <w:rFonts w:hint="eastAsia" w:eastAsia="仿宋_GB2312"/>
          <w:spacing w:val="-4"/>
          <w:kern w:val="32"/>
          <w:szCs w:val="32"/>
        </w:rPr>
        <w:t>上级补助支出增加</w:t>
      </w:r>
      <w:r>
        <w:rPr>
          <w:rFonts w:eastAsia="仿宋_GB2312"/>
          <w:spacing w:val="-4"/>
          <w:kern w:val="32"/>
          <w:szCs w:val="32"/>
        </w:rPr>
        <w:t>。</w:t>
      </w:r>
    </w:p>
    <w:p>
      <w:pPr>
        <w:spacing w:line="600" w:lineRule="exact"/>
        <w:ind w:firstLine="630"/>
        <w:rPr>
          <w:rFonts w:eastAsia="仿宋_GB2312"/>
          <w:spacing w:val="-4"/>
          <w:kern w:val="32"/>
          <w:szCs w:val="32"/>
        </w:rPr>
      </w:pPr>
      <w:r>
        <w:rPr>
          <w:rFonts w:eastAsia="楷体_GB2312"/>
          <w:szCs w:val="32"/>
        </w:rPr>
        <w:t>㈤农林水支出：</w:t>
      </w:r>
      <w:r>
        <w:rPr>
          <w:rFonts w:eastAsia="仿宋_GB2312"/>
          <w:spacing w:val="-4"/>
          <w:kern w:val="32"/>
          <w:szCs w:val="32"/>
        </w:rPr>
        <w:t>202</w:t>
      </w:r>
      <w:r>
        <w:rPr>
          <w:rFonts w:hint="eastAsia" w:eastAsia="仿宋_GB2312"/>
          <w:spacing w:val="-4"/>
          <w:kern w:val="32"/>
          <w:szCs w:val="32"/>
        </w:rPr>
        <w:t>4</w:t>
      </w:r>
      <w:r>
        <w:rPr>
          <w:rFonts w:eastAsia="仿宋_GB2312"/>
          <w:spacing w:val="-4"/>
          <w:kern w:val="32"/>
          <w:szCs w:val="32"/>
        </w:rPr>
        <w:t>年农林水支出</w:t>
      </w:r>
      <w:r>
        <w:rPr>
          <w:rFonts w:hint="eastAsia" w:eastAsia="仿宋_GB2312"/>
          <w:spacing w:val="-4"/>
          <w:kern w:val="32"/>
          <w:szCs w:val="32"/>
        </w:rPr>
        <w:t>35174万元，</w:t>
      </w:r>
      <w:r>
        <w:rPr>
          <w:rFonts w:eastAsia="仿宋_GB2312"/>
          <w:spacing w:val="-4"/>
          <w:kern w:val="32"/>
          <w:szCs w:val="32"/>
        </w:rPr>
        <w:t>比上年同期</w:t>
      </w:r>
      <w:r>
        <w:rPr>
          <w:rFonts w:hint="eastAsia" w:eastAsia="仿宋_GB2312"/>
          <w:spacing w:val="-4"/>
          <w:kern w:val="32"/>
          <w:szCs w:val="32"/>
        </w:rPr>
        <w:t>增</w:t>
      </w:r>
      <w:r>
        <w:rPr>
          <w:rFonts w:eastAsia="仿宋_GB2312"/>
          <w:spacing w:val="-4"/>
          <w:kern w:val="32"/>
          <w:szCs w:val="32"/>
        </w:rPr>
        <w:t>支</w:t>
      </w:r>
      <w:r>
        <w:rPr>
          <w:rFonts w:hint="eastAsia" w:eastAsia="仿宋_GB2312"/>
          <w:spacing w:val="-4"/>
          <w:kern w:val="32"/>
          <w:szCs w:val="32"/>
        </w:rPr>
        <w:t>6032</w:t>
      </w:r>
      <w:r>
        <w:rPr>
          <w:rFonts w:eastAsia="仿宋_GB2312"/>
          <w:spacing w:val="-4"/>
          <w:kern w:val="32"/>
          <w:szCs w:val="32"/>
        </w:rPr>
        <w:t>万元，</w:t>
      </w:r>
      <w:r>
        <w:rPr>
          <w:rFonts w:hint="eastAsia" w:eastAsia="仿宋_GB2312"/>
          <w:spacing w:val="-4"/>
          <w:kern w:val="32"/>
          <w:szCs w:val="32"/>
        </w:rPr>
        <w:t>增长20.7</w:t>
      </w:r>
      <w:r>
        <w:rPr>
          <w:rFonts w:eastAsia="仿宋_GB2312"/>
          <w:spacing w:val="-4"/>
          <w:kern w:val="32"/>
          <w:szCs w:val="32"/>
        </w:rPr>
        <w:t>%，主要是</w:t>
      </w:r>
      <w:r>
        <w:rPr>
          <w:rFonts w:hint="eastAsia" w:eastAsia="仿宋_GB2312"/>
          <w:spacing w:val="-4"/>
          <w:kern w:val="32"/>
          <w:szCs w:val="32"/>
        </w:rPr>
        <w:t>水利领域增发国债项目支出增加</w:t>
      </w:r>
      <w:r>
        <w:rPr>
          <w:rFonts w:eastAsia="仿宋_GB2312"/>
          <w:spacing w:val="-4"/>
          <w:kern w:val="32"/>
          <w:szCs w:val="32"/>
        </w:rPr>
        <w:t>。</w:t>
      </w:r>
    </w:p>
    <w:p>
      <w:pPr>
        <w:spacing w:line="600" w:lineRule="exact"/>
        <w:ind w:firstLine="630"/>
        <w:rPr>
          <w:rFonts w:eastAsia="仿宋_GB2312"/>
          <w:spacing w:val="-4"/>
          <w:kern w:val="32"/>
          <w:szCs w:val="32"/>
        </w:rPr>
      </w:pPr>
      <w:r>
        <w:rPr>
          <w:rFonts w:eastAsia="楷体_GB2312"/>
          <w:szCs w:val="32"/>
        </w:rPr>
        <w:t>㈥交通运输支出：</w:t>
      </w:r>
      <w:r>
        <w:rPr>
          <w:rFonts w:eastAsia="仿宋_GB2312"/>
          <w:spacing w:val="-4"/>
          <w:kern w:val="32"/>
          <w:szCs w:val="32"/>
        </w:rPr>
        <w:t>202</w:t>
      </w:r>
      <w:r>
        <w:rPr>
          <w:rFonts w:hint="eastAsia" w:eastAsia="仿宋_GB2312"/>
          <w:spacing w:val="-4"/>
          <w:kern w:val="32"/>
          <w:szCs w:val="32"/>
        </w:rPr>
        <w:t>4</w:t>
      </w:r>
      <w:r>
        <w:rPr>
          <w:rFonts w:eastAsia="仿宋_GB2312"/>
          <w:spacing w:val="-4"/>
          <w:kern w:val="32"/>
          <w:szCs w:val="32"/>
        </w:rPr>
        <w:t>年交通运输支出</w:t>
      </w:r>
      <w:r>
        <w:rPr>
          <w:rFonts w:hint="eastAsia" w:eastAsia="仿宋_GB2312"/>
          <w:spacing w:val="-4"/>
          <w:kern w:val="32"/>
          <w:szCs w:val="32"/>
        </w:rPr>
        <w:t>6560万元，</w:t>
      </w:r>
      <w:r>
        <w:rPr>
          <w:rFonts w:eastAsia="仿宋_GB2312"/>
          <w:spacing w:val="-4"/>
          <w:kern w:val="32"/>
          <w:szCs w:val="32"/>
        </w:rPr>
        <w:t>比上年同期</w:t>
      </w:r>
      <w:r>
        <w:rPr>
          <w:rFonts w:hint="eastAsia" w:eastAsia="仿宋_GB2312"/>
          <w:spacing w:val="-4"/>
          <w:kern w:val="32"/>
          <w:szCs w:val="32"/>
        </w:rPr>
        <w:t>增</w:t>
      </w:r>
      <w:r>
        <w:rPr>
          <w:rFonts w:eastAsia="仿宋_GB2312"/>
          <w:spacing w:val="-4"/>
          <w:kern w:val="32"/>
          <w:szCs w:val="32"/>
        </w:rPr>
        <w:t>支</w:t>
      </w:r>
      <w:r>
        <w:rPr>
          <w:rFonts w:hint="eastAsia" w:eastAsia="仿宋_GB2312"/>
          <w:spacing w:val="-4"/>
          <w:kern w:val="32"/>
          <w:szCs w:val="32"/>
        </w:rPr>
        <w:t>1546</w:t>
      </w:r>
      <w:r>
        <w:rPr>
          <w:rFonts w:eastAsia="仿宋_GB2312"/>
          <w:spacing w:val="-4"/>
          <w:kern w:val="32"/>
          <w:szCs w:val="32"/>
        </w:rPr>
        <w:t>万元，</w:t>
      </w:r>
      <w:r>
        <w:rPr>
          <w:rFonts w:hint="eastAsia" w:eastAsia="仿宋_GB2312"/>
          <w:spacing w:val="-4"/>
          <w:kern w:val="32"/>
          <w:szCs w:val="32"/>
        </w:rPr>
        <w:t>增长30.83</w:t>
      </w:r>
      <w:r>
        <w:rPr>
          <w:rFonts w:eastAsia="仿宋_GB2312"/>
          <w:spacing w:val="-4"/>
          <w:kern w:val="32"/>
          <w:szCs w:val="32"/>
        </w:rPr>
        <w:t>%，主要是</w:t>
      </w:r>
      <w:r>
        <w:rPr>
          <w:rFonts w:hint="eastAsia" w:eastAsia="仿宋_GB2312"/>
          <w:spacing w:val="-4"/>
          <w:kern w:val="32"/>
          <w:szCs w:val="32"/>
        </w:rPr>
        <w:t>公交亏损补助支出和上级补助支出增加</w:t>
      </w:r>
      <w:r>
        <w:rPr>
          <w:rFonts w:eastAsia="仿宋_GB2312"/>
          <w:spacing w:val="-4"/>
          <w:kern w:val="32"/>
          <w:szCs w:val="32"/>
        </w:rPr>
        <w:t>。</w:t>
      </w:r>
    </w:p>
    <w:p>
      <w:pPr>
        <w:spacing w:line="600" w:lineRule="exact"/>
        <w:ind w:firstLine="630"/>
        <w:rPr>
          <w:rFonts w:eastAsia="仿宋_GB2312"/>
          <w:spacing w:val="-4"/>
          <w:kern w:val="32"/>
          <w:szCs w:val="32"/>
        </w:rPr>
      </w:pPr>
      <w:r>
        <w:rPr>
          <w:rFonts w:eastAsia="楷体_GB2312"/>
          <w:szCs w:val="32"/>
        </w:rPr>
        <w:t>㈦住房保障支出：</w:t>
      </w:r>
      <w:r>
        <w:rPr>
          <w:rFonts w:eastAsia="仿宋_GB2312"/>
          <w:spacing w:val="-4"/>
          <w:kern w:val="32"/>
          <w:szCs w:val="32"/>
        </w:rPr>
        <w:t>202</w:t>
      </w:r>
      <w:r>
        <w:rPr>
          <w:rFonts w:hint="eastAsia" w:eastAsia="仿宋_GB2312"/>
          <w:spacing w:val="-4"/>
          <w:kern w:val="32"/>
          <w:szCs w:val="32"/>
        </w:rPr>
        <w:t>4</w:t>
      </w:r>
      <w:r>
        <w:rPr>
          <w:rFonts w:eastAsia="仿宋_GB2312"/>
          <w:spacing w:val="-4"/>
          <w:kern w:val="32"/>
          <w:szCs w:val="32"/>
        </w:rPr>
        <w:t>年住房保障支</w:t>
      </w:r>
      <w:r>
        <w:rPr>
          <w:rFonts w:hint="eastAsia" w:eastAsia="仿宋_GB2312"/>
          <w:spacing w:val="-4"/>
          <w:kern w:val="32"/>
          <w:szCs w:val="32"/>
        </w:rPr>
        <w:t>出10433万元，</w:t>
      </w:r>
      <w:r>
        <w:rPr>
          <w:rFonts w:eastAsia="仿宋_GB2312"/>
          <w:spacing w:val="-4"/>
          <w:kern w:val="32"/>
          <w:szCs w:val="32"/>
        </w:rPr>
        <w:t>比上年同期</w:t>
      </w:r>
      <w:r>
        <w:rPr>
          <w:rFonts w:hint="eastAsia" w:eastAsia="仿宋_GB2312"/>
          <w:spacing w:val="-4"/>
          <w:kern w:val="32"/>
          <w:szCs w:val="32"/>
        </w:rPr>
        <w:t>增</w:t>
      </w:r>
      <w:r>
        <w:rPr>
          <w:rFonts w:eastAsia="仿宋_GB2312"/>
          <w:spacing w:val="-4"/>
          <w:kern w:val="32"/>
          <w:szCs w:val="32"/>
        </w:rPr>
        <w:t>支</w:t>
      </w:r>
      <w:r>
        <w:rPr>
          <w:rFonts w:hint="eastAsia" w:eastAsia="仿宋_GB2312"/>
          <w:spacing w:val="-4"/>
          <w:kern w:val="32"/>
          <w:szCs w:val="32"/>
        </w:rPr>
        <w:t>2504</w:t>
      </w:r>
      <w:r>
        <w:rPr>
          <w:rFonts w:eastAsia="仿宋_GB2312"/>
          <w:spacing w:val="-4"/>
          <w:kern w:val="32"/>
          <w:szCs w:val="32"/>
        </w:rPr>
        <w:t>万元，</w:t>
      </w:r>
      <w:r>
        <w:rPr>
          <w:rFonts w:hint="eastAsia" w:eastAsia="仿宋_GB2312"/>
          <w:spacing w:val="-4"/>
          <w:kern w:val="32"/>
          <w:szCs w:val="32"/>
        </w:rPr>
        <w:t>增长31.58</w:t>
      </w:r>
      <w:r>
        <w:rPr>
          <w:rFonts w:eastAsia="仿宋_GB2312"/>
          <w:spacing w:val="-4"/>
          <w:kern w:val="32"/>
          <w:szCs w:val="32"/>
        </w:rPr>
        <w:t>%，主要是</w:t>
      </w:r>
      <w:r>
        <w:rPr>
          <w:rFonts w:hint="eastAsia" w:eastAsia="仿宋_GB2312"/>
          <w:spacing w:val="-4"/>
          <w:kern w:val="32"/>
          <w:szCs w:val="32"/>
        </w:rPr>
        <w:t>保障性安居工程和老旧小区改造等上级补助支出增加</w:t>
      </w:r>
      <w:r>
        <w:rPr>
          <w:rFonts w:eastAsia="仿宋_GB2312"/>
          <w:spacing w:val="-4"/>
          <w:kern w:val="32"/>
          <w:szCs w:val="32"/>
        </w:rPr>
        <w:t>。</w:t>
      </w:r>
    </w:p>
    <w:p>
      <w:pPr>
        <w:spacing w:line="600" w:lineRule="exact"/>
        <w:ind w:firstLine="630"/>
        <w:rPr>
          <w:rFonts w:eastAsia="黑体"/>
          <w:szCs w:val="32"/>
        </w:rPr>
      </w:pPr>
      <w:r>
        <w:rPr>
          <w:rFonts w:eastAsia="黑体"/>
          <w:szCs w:val="32"/>
        </w:rPr>
        <w:t>五、预算超</w:t>
      </w:r>
      <w:r>
        <w:rPr>
          <w:rFonts w:hint="eastAsia" w:eastAsia="黑体"/>
          <w:szCs w:val="32"/>
        </w:rPr>
        <w:t>（减）</w:t>
      </w:r>
      <w:r>
        <w:rPr>
          <w:rFonts w:eastAsia="黑体"/>
          <w:szCs w:val="32"/>
        </w:rPr>
        <w:t>收收入的安排</w:t>
      </w:r>
    </w:p>
    <w:p>
      <w:pPr>
        <w:spacing w:line="600" w:lineRule="exact"/>
        <w:ind w:firstLine="630"/>
        <w:rPr>
          <w:rFonts w:eastAsia="仿宋_GB2312"/>
          <w:spacing w:val="-4"/>
          <w:kern w:val="32"/>
          <w:szCs w:val="32"/>
        </w:rPr>
      </w:pPr>
      <w:r>
        <w:rPr>
          <w:rFonts w:eastAsia="仿宋_GB2312"/>
          <w:spacing w:val="-4"/>
          <w:kern w:val="32"/>
          <w:szCs w:val="32"/>
        </w:rPr>
        <w:t>202</w:t>
      </w:r>
      <w:r>
        <w:rPr>
          <w:rFonts w:hint="eastAsia" w:eastAsia="仿宋_GB2312"/>
          <w:spacing w:val="-4"/>
          <w:kern w:val="32"/>
          <w:szCs w:val="32"/>
        </w:rPr>
        <w:t>4</w:t>
      </w:r>
      <w:r>
        <w:rPr>
          <w:rFonts w:eastAsia="仿宋_GB2312"/>
          <w:spacing w:val="-4"/>
          <w:kern w:val="32"/>
          <w:szCs w:val="32"/>
        </w:rPr>
        <w:t>年我区地方一般公共预算收入1</w:t>
      </w:r>
      <w:r>
        <w:rPr>
          <w:rFonts w:hint="eastAsia" w:eastAsia="仿宋_GB2312"/>
          <w:spacing w:val="-4"/>
          <w:kern w:val="32"/>
          <w:szCs w:val="32"/>
        </w:rPr>
        <w:t>11607</w:t>
      </w:r>
      <w:r>
        <w:rPr>
          <w:rFonts w:eastAsia="仿宋_GB2312"/>
          <w:spacing w:val="-4"/>
          <w:kern w:val="32"/>
          <w:szCs w:val="32"/>
        </w:rPr>
        <w:t>万元，比预算</w:t>
      </w:r>
      <w:r>
        <w:rPr>
          <w:rFonts w:hint="eastAsia" w:eastAsia="仿宋_GB2312"/>
          <w:spacing w:val="-4"/>
          <w:kern w:val="32"/>
          <w:szCs w:val="32"/>
        </w:rPr>
        <w:t>调整</w:t>
      </w:r>
      <w:r>
        <w:rPr>
          <w:rFonts w:eastAsia="仿宋_GB2312"/>
          <w:spacing w:val="-4"/>
          <w:kern w:val="32"/>
          <w:szCs w:val="32"/>
        </w:rPr>
        <w:t>数</w:t>
      </w:r>
      <w:r>
        <w:rPr>
          <w:rFonts w:hint="eastAsia" w:eastAsia="仿宋_GB2312"/>
          <w:spacing w:val="-4"/>
          <w:kern w:val="32"/>
          <w:szCs w:val="32"/>
        </w:rPr>
        <w:t>117164</w:t>
      </w:r>
      <w:r>
        <w:rPr>
          <w:rFonts w:eastAsia="仿宋_GB2312"/>
          <w:spacing w:val="-4"/>
          <w:kern w:val="32"/>
          <w:szCs w:val="32"/>
        </w:rPr>
        <w:t>万元</w:t>
      </w:r>
      <w:r>
        <w:rPr>
          <w:rFonts w:hint="eastAsia" w:eastAsia="仿宋_GB2312"/>
          <w:spacing w:val="-4"/>
          <w:kern w:val="32"/>
          <w:szCs w:val="32"/>
        </w:rPr>
        <w:t>减</w:t>
      </w:r>
      <w:r>
        <w:rPr>
          <w:rFonts w:eastAsia="仿宋_GB2312"/>
          <w:spacing w:val="-4"/>
          <w:kern w:val="32"/>
          <w:szCs w:val="32"/>
        </w:rPr>
        <w:t>收</w:t>
      </w:r>
      <w:r>
        <w:rPr>
          <w:rFonts w:hint="eastAsia" w:eastAsia="仿宋_GB2312"/>
          <w:spacing w:val="-4"/>
          <w:kern w:val="32"/>
          <w:szCs w:val="32"/>
        </w:rPr>
        <w:t>5557</w:t>
      </w:r>
      <w:r>
        <w:rPr>
          <w:rFonts w:eastAsia="仿宋_GB2312"/>
          <w:spacing w:val="-4"/>
          <w:kern w:val="32"/>
          <w:szCs w:val="32"/>
        </w:rPr>
        <w:t>万元，</w:t>
      </w:r>
      <w:r>
        <w:rPr>
          <w:rFonts w:hint="eastAsia" w:eastAsia="仿宋_GB2312"/>
          <w:spacing w:val="-4"/>
          <w:kern w:val="32"/>
          <w:szCs w:val="32"/>
        </w:rPr>
        <w:t>主要是非税收入减少，减收财力主要通过调入政府性基金及清理财政存量资金弥补。</w:t>
      </w:r>
    </w:p>
    <w:p>
      <w:pPr>
        <w:spacing w:line="600" w:lineRule="exact"/>
        <w:ind w:firstLine="630"/>
        <w:rPr>
          <w:rFonts w:eastAsia="黑体"/>
          <w:szCs w:val="32"/>
        </w:rPr>
      </w:pPr>
      <w:r>
        <w:rPr>
          <w:rFonts w:eastAsia="黑体"/>
          <w:szCs w:val="32"/>
        </w:rPr>
        <w:t>六、上级财政补助资金安排使用情况</w:t>
      </w:r>
    </w:p>
    <w:p>
      <w:pPr>
        <w:spacing w:line="600" w:lineRule="exact"/>
        <w:ind w:firstLine="630"/>
        <w:rPr>
          <w:rFonts w:eastAsia="仿宋_GB2312"/>
          <w:spacing w:val="-4"/>
          <w:kern w:val="32"/>
          <w:szCs w:val="32"/>
        </w:rPr>
      </w:pPr>
      <w:r>
        <w:rPr>
          <w:rFonts w:eastAsia="楷体_GB2312"/>
          <w:szCs w:val="32"/>
        </w:rPr>
        <w:t>㈠一般公共预算：</w:t>
      </w:r>
      <w:r>
        <w:rPr>
          <w:rFonts w:eastAsia="仿宋_GB2312"/>
          <w:spacing w:val="-4"/>
          <w:kern w:val="32"/>
          <w:szCs w:val="32"/>
        </w:rPr>
        <w:t>202</w:t>
      </w:r>
      <w:r>
        <w:rPr>
          <w:rFonts w:hint="eastAsia" w:eastAsia="仿宋_GB2312"/>
          <w:spacing w:val="-4"/>
          <w:kern w:val="32"/>
          <w:szCs w:val="32"/>
        </w:rPr>
        <w:t>4</w:t>
      </w:r>
      <w:r>
        <w:rPr>
          <w:rFonts w:eastAsia="仿宋_GB2312"/>
          <w:spacing w:val="-4"/>
          <w:kern w:val="32"/>
          <w:szCs w:val="32"/>
        </w:rPr>
        <w:t>年上级补助收入</w:t>
      </w:r>
      <w:r>
        <w:rPr>
          <w:rFonts w:hint="eastAsia" w:eastAsia="仿宋_GB2312"/>
          <w:spacing w:val="-4"/>
          <w:kern w:val="32"/>
          <w:szCs w:val="32"/>
        </w:rPr>
        <w:t>118213</w:t>
      </w:r>
      <w:r>
        <w:rPr>
          <w:rFonts w:eastAsia="仿宋_GB2312"/>
          <w:spacing w:val="-4"/>
          <w:kern w:val="32"/>
          <w:szCs w:val="32"/>
        </w:rPr>
        <w:t>万元，其中：</w:t>
      </w:r>
    </w:p>
    <w:p>
      <w:pPr>
        <w:spacing w:line="600" w:lineRule="exact"/>
        <w:ind w:firstLine="630"/>
        <w:rPr>
          <w:rFonts w:eastAsia="仿宋_GB2312"/>
          <w:spacing w:val="-4"/>
          <w:kern w:val="32"/>
          <w:szCs w:val="32"/>
        </w:rPr>
      </w:pPr>
      <w:r>
        <w:rPr>
          <w:rFonts w:hint="eastAsia" w:eastAsia="仿宋_GB2312"/>
          <w:spacing w:val="-4"/>
          <w:kern w:val="32"/>
          <w:szCs w:val="32"/>
        </w:rPr>
        <w:t>1、返还性收入8519万元，全部作为本级财力用于一般公共预算支出。其中：增值税和消费税返还收入1717万元，所得税基数返还收入1526万元，增值税“五五分享”税收返还收入4939万元，成品油改革税收返还收入337万元。</w:t>
      </w:r>
    </w:p>
    <w:p>
      <w:pPr>
        <w:spacing w:line="600" w:lineRule="exact"/>
        <w:ind w:firstLine="630"/>
        <w:rPr>
          <w:rFonts w:eastAsia="仿宋_GB2312"/>
          <w:spacing w:val="-4"/>
          <w:kern w:val="32"/>
          <w:szCs w:val="32"/>
        </w:rPr>
      </w:pPr>
      <w:r>
        <w:rPr>
          <w:rFonts w:eastAsia="仿宋_GB2312"/>
          <w:spacing w:val="-4"/>
          <w:kern w:val="32"/>
          <w:szCs w:val="32"/>
        </w:rPr>
        <w:t>2、</w:t>
      </w:r>
      <w:r>
        <w:rPr>
          <w:rFonts w:hint="eastAsia" w:eastAsia="仿宋_GB2312"/>
          <w:spacing w:val="-4"/>
          <w:kern w:val="32"/>
          <w:szCs w:val="32"/>
        </w:rPr>
        <w:t>一般性转移支付收入90691万元，其中43048万元作为本级财力用于相应的民生等项目支出，主要是革命老区转移支付、贫困地区转移支付、重点生态功能区转移支付、均衡性转移支付、县级基本财力保障等补助收入；47643万元是共同财政事权补助资金，主要是公共安全、教育、社会保障、卫生健康、农林水等具有特定用途的转移支付收入。</w:t>
      </w:r>
    </w:p>
    <w:p>
      <w:pPr>
        <w:spacing w:line="600" w:lineRule="exact"/>
        <w:ind w:firstLine="630"/>
        <w:rPr>
          <w:rFonts w:eastAsia="仿宋_GB2312"/>
          <w:spacing w:val="-4"/>
          <w:kern w:val="32"/>
          <w:szCs w:val="32"/>
        </w:rPr>
      </w:pPr>
      <w:r>
        <w:rPr>
          <w:rFonts w:eastAsia="仿宋_GB2312"/>
          <w:spacing w:val="-4"/>
          <w:kern w:val="32"/>
          <w:szCs w:val="32"/>
        </w:rPr>
        <w:t>3、专项转移支付收入</w:t>
      </w:r>
      <w:r>
        <w:rPr>
          <w:rFonts w:hint="eastAsia" w:eastAsia="仿宋_GB2312"/>
          <w:spacing w:val="-4"/>
          <w:kern w:val="32"/>
          <w:szCs w:val="32"/>
        </w:rPr>
        <w:t>19003</w:t>
      </w:r>
      <w:r>
        <w:rPr>
          <w:rFonts w:eastAsia="仿宋_GB2312"/>
          <w:spacing w:val="-4"/>
          <w:kern w:val="32"/>
          <w:szCs w:val="32"/>
        </w:rPr>
        <w:t>万元，全部是有确定具体项目和用途的专项补助资金，实行专款专用，</w:t>
      </w:r>
      <w:r>
        <w:rPr>
          <w:rFonts w:hint="eastAsia" w:eastAsia="仿宋_GB2312"/>
          <w:spacing w:val="-4"/>
          <w:kern w:val="32"/>
          <w:szCs w:val="32"/>
        </w:rPr>
        <w:t>主要是城乡社区专项2471万元、节能环保专项3161万元、农林水专项3349万元、资源勘探工业信息专项1773万元、自然资源海洋气象等专项2272万元、灾害防治及应急管理专项1372万元。</w:t>
      </w:r>
    </w:p>
    <w:p>
      <w:pPr>
        <w:spacing w:line="600" w:lineRule="exact"/>
        <w:ind w:firstLine="630"/>
        <w:rPr>
          <w:rFonts w:eastAsia="仿宋_GB2312"/>
          <w:spacing w:val="-4"/>
          <w:kern w:val="32"/>
          <w:szCs w:val="32"/>
        </w:rPr>
      </w:pPr>
      <w:r>
        <w:rPr>
          <w:rFonts w:hint="eastAsia" w:eastAsia="仿宋_GB2312"/>
          <w:spacing w:val="-4"/>
          <w:kern w:val="32"/>
          <w:szCs w:val="32"/>
        </w:rPr>
        <w:t>以上补助资金当年使用90109万元，结转2025年使用28104万元。</w:t>
      </w:r>
    </w:p>
    <w:p>
      <w:pPr>
        <w:spacing w:line="600" w:lineRule="exact"/>
        <w:ind w:firstLine="630"/>
        <w:rPr>
          <w:rFonts w:hint="eastAsia" w:eastAsia="仿宋_GB2312"/>
          <w:spacing w:val="-4"/>
          <w:kern w:val="32"/>
          <w:szCs w:val="32"/>
        </w:rPr>
      </w:pPr>
      <w:r>
        <w:rPr>
          <w:rFonts w:eastAsia="楷体_GB2312"/>
          <w:szCs w:val="32"/>
        </w:rPr>
        <w:t>㈡政府性基金：</w:t>
      </w:r>
      <w:r>
        <w:rPr>
          <w:rFonts w:eastAsia="仿宋_GB2312"/>
          <w:spacing w:val="-4"/>
          <w:kern w:val="32"/>
          <w:szCs w:val="32"/>
        </w:rPr>
        <w:t>202</w:t>
      </w:r>
      <w:r>
        <w:rPr>
          <w:rFonts w:hint="eastAsia" w:eastAsia="仿宋_GB2312"/>
          <w:spacing w:val="-4"/>
          <w:kern w:val="32"/>
          <w:szCs w:val="32"/>
        </w:rPr>
        <w:t>4</w:t>
      </w:r>
      <w:r>
        <w:rPr>
          <w:rFonts w:eastAsia="仿宋_GB2312"/>
          <w:spacing w:val="-4"/>
          <w:kern w:val="32"/>
          <w:szCs w:val="32"/>
        </w:rPr>
        <w:t>年上级补助资金</w:t>
      </w:r>
      <w:r>
        <w:rPr>
          <w:rFonts w:hint="eastAsia" w:eastAsia="仿宋_GB2312"/>
          <w:spacing w:val="-4"/>
          <w:kern w:val="32"/>
          <w:szCs w:val="32"/>
        </w:rPr>
        <w:t>31104</w:t>
      </w:r>
      <w:r>
        <w:rPr>
          <w:rFonts w:eastAsia="仿宋_GB2312"/>
          <w:spacing w:val="-4"/>
          <w:kern w:val="32"/>
          <w:szCs w:val="32"/>
        </w:rPr>
        <w:t>万元，</w:t>
      </w:r>
      <w:r>
        <w:rPr>
          <w:rFonts w:hint="eastAsia" w:eastAsia="仿宋_GB2312"/>
          <w:spacing w:val="-4"/>
          <w:kern w:val="32"/>
          <w:szCs w:val="32"/>
        </w:rPr>
        <w:t>全部为确定具体项目和用途的专项补助资金，主要是超长期国债资金22475万元、库区移民及水利工程建设专项资金3026万元、彩票公益金补助5135万元、高标准农田建设补助468万元。以上补助资金当年使用3697万元，结转2025年使用27407万元。</w:t>
      </w:r>
    </w:p>
    <w:p>
      <w:pPr>
        <w:spacing w:line="600" w:lineRule="exact"/>
        <w:ind w:firstLine="630"/>
        <w:rPr>
          <w:rFonts w:hint="eastAsia" w:eastAsia="仿宋_GB2312"/>
          <w:spacing w:val="-4"/>
          <w:kern w:val="32"/>
          <w:szCs w:val="32"/>
        </w:rPr>
      </w:pPr>
      <w:r>
        <w:rPr>
          <w:rFonts w:hint="eastAsia" w:eastAsia="仿宋_GB2312"/>
          <w:spacing w:val="-4"/>
          <w:kern w:val="32"/>
          <w:szCs w:val="32"/>
        </w:rPr>
        <w:t>主任、各位副主任、各位委员，202</w:t>
      </w:r>
      <w:r>
        <w:rPr>
          <w:rFonts w:hint="eastAsia" w:eastAsia="仿宋_GB2312"/>
          <w:spacing w:val="-4"/>
          <w:kern w:val="32"/>
          <w:szCs w:val="32"/>
          <w:lang w:val="en-US" w:eastAsia="zh-CN"/>
        </w:rPr>
        <w:t>4</w:t>
      </w:r>
      <w:r>
        <w:rPr>
          <w:rFonts w:hint="eastAsia" w:eastAsia="仿宋_GB2312"/>
          <w:spacing w:val="-4"/>
          <w:kern w:val="32"/>
          <w:szCs w:val="32"/>
        </w:rPr>
        <w:t>年的财政收支任务已基本完成，但财政运行中仍然存在一些困难和问题：经济增长放缓，财政收入质量不高；土地交易持续疲软，基金收入逐年减少；可支配财力有限，债务还本付息进入高峰期；刚性支出持续增加，财政收支矛盾突出等等。202</w:t>
      </w:r>
      <w:r>
        <w:rPr>
          <w:rFonts w:hint="eastAsia" w:eastAsia="仿宋_GB2312"/>
          <w:spacing w:val="-4"/>
          <w:kern w:val="32"/>
          <w:szCs w:val="32"/>
          <w:lang w:val="en-US" w:eastAsia="zh-CN"/>
        </w:rPr>
        <w:t>5</w:t>
      </w:r>
      <w:r>
        <w:rPr>
          <w:rFonts w:hint="eastAsia" w:eastAsia="仿宋_GB2312"/>
          <w:spacing w:val="-4"/>
          <w:kern w:val="32"/>
          <w:szCs w:val="32"/>
        </w:rPr>
        <w:t>年我们将在习近平新时代中国特色社会主义思想指引下，在区委的坚强领导下，在区人大的依法监督和区政协的民主监督下，凝心聚力，开拓进取，全力做好财政各项工作，为全面推进沙县区高质量发展提供更加坚实的财力支撑。</w:t>
      </w:r>
    </w:p>
    <w:p>
      <w:pPr>
        <w:spacing w:line="600" w:lineRule="exact"/>
        <w:ind w:firstLine="630"/>
        <w:rPr>
          <w:rFonts w:hint="eastAsia" w:eastAsia="仿宋_GB2312"/>
          <w:spacing w:val="-4"/>
          <w:kern w:val="32"/>
          <w:szCs w:val="32"/>
        </w:rPr>
      </w:pPr>
      <w:r>
        <w:rPr>
          <w:rFonts w:hint="eastAsia" w:eastAsia="仿宋_GB2312"/>
          <w:spacing w:val="-4"/>
          <w:kern w:val="32"/>
          <w:szCs w:val="32"/>
        </w:rPr>
        <w:t>以上报告，请审议。</w:t>
      </w:r>
    </w:p>
    <w:sectPr>
      <w:headerReference r:id="rId5" w:type="first"/>
      <w:footerReference r:id="rId8" w:type="first"/>
      <w:headerReference r:id="rId3" w:type="default"/>
      <w:footerReference r:id="rId6" w:type="default"/>
      <w:headerReference r:id="rId4" w:type="even"/>
      <w:footerReference r:id="rId7" w:type="even"/>
      <w:pgSz w:w="11906" w:h="16838"/>
      <w:pgMar w:top="1588" w:right="1588" w:bottom="1588" w:left="1588" w:header="851" w:footer="992" w:gutter="0"/>
      <w:cols w:space="425" w:num="1"/>
      <w:docGrid w:type="linesAndChars" w:linePitch="621" w:charSpace="-168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Tahoma">
    <w:altName w:val="DejaVu Sans"/>
    <w:panose1 w:val="020B0604030504040204"/>
    <w:charset w:val="00"/>
    <w:family w:val="swiss"/>
    <w:pitch w:val="default"/>
    <w:sig w:usb0="00000000" w:usb1="00000000" w:usb2="00000029" w:usb3="00000000" w:csb0="000101FF" w:csb1="00000000"/>
  </w:font>
  <w:font w:name="Courier New">
    <w:altName w:val="DejaVu Sans"/>
    <w:panose1 w:val="02070309020205020404"/>
    <w:charset w:val="00"/>
    <w:family w:val="modern"/>
    <w:pitch w:val="default"/>
    <w:sig w:usb0="00000000" w:usb1="00000000" w:usb2="00000009" w:usb3="00000000" w:csb0="000001FF" w:csb1="00000000"/>
  </w:font>
  <w:font w:name="方正仿宋简体">
    <w:altName w:val="方正仿宋_GBK"/>
    <w:panose1 w:val="03000509000000000000"/>
    <w:charset w:val="86"/>
    <w:family w:val="script"/>
    <w:pitch w:val="default"/>
    <w:sig w:usb0="00000000" w:usb1="00000000" w:usb2="0000001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楷体简体">
    <w:altName w:val="方正楷体_GBK"/>
    <w:panose1 w:val="00000000000000000000"/>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方正楷体_GBK"/>
    <w:panose1 w:val="00000000000000000000"/>
    <w:charset w:val="86"/>
    <w:family w:val="modern"/>
    <w:pitch w:val="default"/>
    <w:sig w:usb0="00000000" w:usb1="00000000" w:usb2="00000010" w:usb3="00000000" w:csb0="00040000" w:csb1="00000000"/>
  </w:font>
  <w:font w:name="方正楷体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6196" w:y="7"/>
      <w:rPr>
        <w:rStyle w:val="12"/>
        <w:sz w:val="21"/>
      </w:rPr>
    </w:pPr>
    <w:r>
      <w:rPr>
        <w:rStyle w:val="12"/>
        <w:sz w:val="21"/>
      </w:rPr>
      <w:fldChar w:fldCharType="begin"/>
    </w:r>
    <w:r>
      <w:rPr>
        <w:rStyle w:val="12"/>
        <w:sz w:val="21"/>
      </w:rPr>
      <w:instrText xml:space="preserve">PAGE  </w:instrText>
    </w:r>
    <w:r>
      <w:rPr>
        <w:rStyle w:val="12"/>
        <w:sz w:val="21"/>
      </w:rPr>
      <w:fldChar w:fldCharType="separate"/>
    </w:r>
    <w:r>
      <w:rPr>
        <w:rStyle w:val="12"/>
        <w:sz w:val="21"/>
      </w:rPr>
      <w:t>4</w:t>
    </w:r>
    <w:r>
      <w:rPr>
        <w:rStyle w:val="12"/>
        <w:sz w:val="21"/>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56"/>
  <w:drawingGridVerticalSpacing w:val="621"/>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B6902"/>
    <w:rsid w:val="00000AB5"/>
    <w:rsid w:val="000012D1"/>
    <w:rsid w:val="00001A83"/>
    <w:rsid w:val="00002E48"/>
    <w:rsid w:val="00002EA7"/>
    <w:rsid w:val="0000313D"/>
    <w:rsid w:val="0000369D"/>
    <w:rsid w:val="00003C67"/>
    <w:rsid w:val="000046D6"/>
    <w:rsid w:val="000063BE"/>
    <w:rsid w:val="00006746"/>
    <w:rsid w:val="000068B0"/>
    <w:rsid w:val="00007B6A"/>
    <w:rsid w:val="00010815"/>
    <w:rsid w:val="00015059"/>
    <w:rsid w:val="000152DB"/>
    <w:rsid w:val="000153A1"/>
    <w:rsid w:val="000159C0"/>
    <w:rsid w:val="00015B52"/>
    <w:rsid w:val="00016701"/>
    <w:rsid w:val="0002082C"/>
    <w:rsid w:val="00022DC0"/>
    <w:rsid w:val="00023E82"/>
    <w:rsid w:val="00026122"/>
    <w:rsid w:val="0002758A"/>
    <w:rsid w:val="00032A07"/>
    <w:rsid w:val="00034DF3"/>
    <w:rsid w:val="000352D5"/>
    <w:rsid w:val="00035C84"/>
    <w:rsid w:val="0003601F"/>
    <w:rsid w:val="000364CA"/>
    <w:rsid w:val="000373E0"/>
    <w:rsid w:val="00037874"/>
    <w:rsid w:val="00040DE2"/>
    <w:rsid w:val="0004414A"/>
    <w:rsid w:val="000464C7"/>
    <w:rsid w:val="00046820"/>
    <w:rsid w:val="00047926"/>
    <w:rsid w:val="00050DCC"/>
    <w:rsid w:val="000538E7"/>
    <w:rsid w:val="000540A0"/>
    <w:rsid w:val="0005544E"/>
    <w:rsid w:val="00063A90"/>
    <w:rsid w:val="00063B20"/>
    <w:rsid w:val="00064367"/>
    <w:rsid w:val="00064415"/>
    <w:rsid w:val="00064F41"/>
    <w:rsid w:val="000650F9"/>
    <w:rsid w:val="000651B9"/>
    <w:rsid w:val="0006557D"/>
    <w:rsid w:val="00065E62"/>
    <w:rsid w:val="0006626A"/>
    <w:rsid w:val="0007082D"/>
    <w:rsid w:val="00072A71"/>
    <w:rsid w:val="0007752F"/>
    <w:rsid w:val="00084958"/>
    <w:rsid w:val="00087470"/>
    <w:rsid w:val="000874D9"/>
    <w:rsid w:val="000905DC"/>
    <w:rsid w:val="0009258E"/>
    <w:rsid w:val="00093DC5"/>
    <w:rsid w:val="00094DF5"/>
    <w:rsid w:val="00095F8A"/>
    <w:rsid w:val="000A00BB"/>
    <w:rsid w:val="000A00BD"/>
    <w:rsid w:val="000A06EF"/>
    <w:rsid w:val="000A1181"/>
    <w:rsid w:val="000A507C"/>
    <w:rsid w:val="000B15D5"/>
    <w:rsid w:val="000B29D3"/>
    <w:rsid w:val="000B4588"/>
    <w:rsid w:val="000B71F2"/>
    <w:rsid w:val="000C1AE4"/>
    <w:rsid w:val="000C22E4"/>
    <w:rsid w:val="000C4C67"/>
    <w:rsid w:val="000C5ACB"/>
    <w:rsid w:val="000C7038"/>
    <w:rsid w:val="000C7B02"/>
    <w:rsid w:val="000C7F2E"/>
    <w:rsid w:val="000D0F2B"/>
    <w:rsid w:val="000D1A58"/>
    <w:rsid w:val="000D1B4C"/>
    <w:rsid w:val="000D1FFE"/>
    <w:rsid w:val="000D2A14"/>
    <w:rsid w:val="000D426F"/>
    <w:rsid w:val="000E0B2E"/>
    <w:rsid w:val="000E0E2D"/>
    <w:rsid w:val="000E1424"/>
    <w:rsid w:val="000E28A7"/>
    <w:rsid w:val="000E53A3"/>
    <w:rsid w:val="000E5C0A"/>
    <w:rsid w:val="000E7130"/>
    <w:rsid w:val="000E795D"/>
    <w:rsid w:val="000F1183"/>
    <w:rsid w:val="000F2FD9"/>
    <w:rsid w:val="000F4D10"/>
    <w:rsid w:val="000F5147"/>
    <w:rsid w:val="0010250B"/>
    <w:rsid w:val="00102AD8"/>
    <w:rsid w:val="00106B79"/>
    <w:rsid w:val="00106CD2"/>
    <w:rsid w:val="00110343"/>
    <w:rsid w:val="001104A7"/>
    <w:rsid w:val="0011094D"/>
    <w:rsid w:val="00110CD8"/>
    <w:rsid w:val="001125FC"/>
    <w:rsid w:val="00115245"/>
    <w:rsid w:val="00117666"/>
    <w:rsid w:val="001203D1"/>
    <w:rsid w:val="00121ED2"/>
    <w:rsid w:val="00122FA4"/>
    <w:rsid w:val="00123860"/>
    <w:rsid w:val="0012416F"/>
    <w:rsid w:val="001245CE"/>
    <w:rsid w:val="0012606C"/>
    <w:rsid w:val="001302A7"/>
    <w:rsid w:val="00130D64"/>
    <w:rsid w:val="00130E9E"/>
    <w:rsid w:val="00130F73"/>
    <w:rsid w:val="00131964"/>
    <w:rsid w:val="00131B0B"/>
    <w:rsid w:val="001321AA"/>
    <w:rsid w:val="0013359B"/>
    <w:rsid w:val="00134DF7"/>
    <w:rsid w:val="0013709F"/>
    <w:rsid w:val="0014135E"/>
    <w:rsid w:val="00143E11"/>
    <w:rsid w:val="001443EB"/>
    <w:rsid w:val="00145603"/>
    <w:rsid w:val="00146161"/>
    <w:rsid w:val="001503A2"/>
    <w:rsid w:val="00151CEB"/>
    <w:rsid w:val="00153D9D"/>
    <w:rsid w:val="00155333"/>
    <w:rsid w:val="00155523"/>
    <w:rsid w:val="001566FC"/>
    <w:rsid w:val="00157A10"/>
    <w:rsid w:val="00157E28"/>
    <w:rsid w:val="001607FC"/>
    <w:rsid w:val="001621E8"/>
    <w:rsid w:val="00162242"/>
    <w:rsid w:val="00162373"/>
    <w:rsid w:val="00163A6D"/>
    <w:rsid w:val="00164FEB"/>
    <w:rsid w:val="001663D8"/>
    <w:rsid w:val="00167B43"/>
    <w:rsid w:val="0017009E"/>
    <w:rsid w:val="00170B0B"/>
    <w:rsid w:val="00171B86"/>
    <w:rsid w:val="001722D3"/>
    <w:rsid w:val="00173A92"/>
    <w:rsid w:val="001820C4"/>
    <w:rsid w:val="00182644"/>
    <w:rsid w:val="00183256"/>
    <w:rsid w:val="001836CE"/>
    <w:rsid w:val="00185DDE"/>
    <w:rsid w:val="001873A7"/>
    <w:rsid w:val="00187C1F"/>
    <w:rsid w:val="00192D59"/>
    <w:rsid w:val="0019654D"/>
    <w:rsid w:val="001A2710"/>
    <w:rsid w:val="001A436E"/>
    <w:rsid w:val="001A5916"/>
    <w:rsid w:val="001A678C"/>
    <w:rsid w:val="001A6BF6"/>
    <w:rsid w:val="001B1A69"/>
    <w:rsid w:val="001B34BA"/>
    <w:rsid w:val="001B4935"/>
    <w:rsid w:val="001B5694"/>
    <w:rsid w:val="001B706C"/>
    <w:rsid w:val="001B79CA"/>
    <w:rsid w:val="001B7B25"/>
    <w:rsid w:val="001B7E33"/>
    <w:rsid w:val="001C0E1A"/>
    <w:rsid w:val="001C15DA"/>
    <w:rsid w:val="001C3F6F"/>
    <w:rsid w:val="001C4347"/>
    <w:rsid w:val="001C69F8"/>
    <w:rsid w:val="001C6F5D"/>
    <w:rsid w:val="001D01D5"/>
    <w:rsid w:val="001D3BAD"/>
    <w:rsid w:val="001D5771"/>
    <w:rsid w:val="001D5E61"/>
    <w:rsid w:val="001D63B4"/>
    <w:rsid w:val="001D6960"/>
    <w:rsid w:val="001D6CD3"/>
    <w:rsid w:val="001E003A"/>
    <w:rsid w:val="001E15A0"/>
    <w:rsid w:val="001E2AEA"/>
    <w:rsid w:val="001E5BA3"/>
    <w:rsid w:val="001E6ED3"/>
    <w:rsid w:val="001E7335"/>
    <w:rsid w:val="001E7B43"/>
    <w:rsid w:val="001F04AD"/>
    <w:rsid w:val="001F0664"/>
    <w:rsid w:val="001F199A"/>
    <w:rsid w:val="001F1F8A"/>
    <w:rsid w:val="001F2777"/>
    <w:rsid w:val="001F6B5A"/>
    <w:rsid w:val="001F70CC"/>
    <w:rsid w:val="00200539"/>
    <w:rsid w:val="002030F6"/>
    <w:rsid w:val="00204F5B"/>
    <w:rsid w:val="00206919"/>
    <w:rsid w:val="002079DE"/>
    <w:rsid w:val="00210305"/>
    <w:rsid w:val="00214E14"/>
    <w:rsid w:val="002175F7"/>
    <w:rsid w:val="0022127E"/>
    <w:rsid w:val="002213ED"/>
    <w:rsid w:val="00222186"/>
    <w:rsid w:val="002228D4"/>
    <w:rsid w:val="00222C7E"/>
    <w:rsid w:val="00223BEE"/>
    <w:rsid w:val="002246A2"/>
    <w:rsid w:val="00226F14"/>
    <w:rsid w:val="00227EFB"/>
    <w:rsid w:val="002312A4"/>
    <w:rsid w:val="00232F88"/>
    <w:rsid w:val="00237EDC"/>
    <w:rsid w:val="00240F4A"/>
    <w:rsid w:val="0024228F"/>
    <w:rsid w:val="00242E3A"/>
    <w:rsid w:val="0024334C"/>
    <w:rsid w:val="00245530"/>
    <w:rsid w:val="00246199"/>
    <w:rsid w:val="00250F74"/>
    <w:rsid w:val="00251F2F"/>
    <w:rsid w:val="00252C62"/>
    <w:rsid w:val="00253326"/>
    <w:rsid w:val="00256854"/>
    <w:rsid w:val="00257275"/>
    <w:rsid w:val="00257A3D"/>
    <w:rsid w:val="00260330"/>
    <w:rsid w:val="002645C7"/>
    <w:rsid w:val="00265927"/>
    <w:rsid w:val="00265A18"/>
    <w:rsid w:val="00265D77"/>
    <w:rsid w:val="00266FBE"/>
    <w:rsid w:val="00267D3A"/>
    <w:rsid w:val="00267D7F"/>
    <w:rsid w:val="00273375"/>
    <w:rsid w:val="002747F5"/>
    <w:rsid w:val="00276861"/>
    <w:rsid w:val="00276911"/>
    <w:rsid w:val="002778CC"/>
    <w:rsid w:val="00280BF4"/>
    <w:rsid w:val="00280C62"/>
    <w:rsid w:val="00280FBC"/>
    <w:rsid w:val="00281B2F"/>
    <w:rsid w:val="002824CE"/>
    <w:rsid w:val="002859F3"/>
    <w:rsid w:val="00286926"/>
    <w:rsid w:val="002901CF"/>
    <w:rsid w:val="00292A9F"/>
    <w:rsid w:val="00295ABD"/>
    <w:rsid w:val="002A07F4"/>
    <w:rsid w:val="002A1C79"/>
    <w:rsid w:val="002A26DF"/>
    <w:rsid w:val="002A2995"/>
    <w:rsid w:val="002A3ACD"/>
    <w:rsid w:val="002A4847"/>
    <w:rsid w:val="002C1BD1"/>
    <w:rsid w:val="002C309D"/>
    <w:rsid w:val="002C4201"/>
    <w:rsid w:val="002C5D31"/>
    <w:rsid w:val="002D1012"/>
    <w:rsid w:val="002D1133"/>
    <w:rsid w:val="002D2F6A"/>
    <w:rsid w:val="002D4F0E"/>
    <w:rsid w:val="002E02F8"/>
    <w:rsid w:val="002E0453"/>
    <w:rsid w:val="002E0689"/>
    <w:rsid w:val="002E5745"/>
    <w:rsid w:val="002E5F2F"/>
    <w:rsid w:val="002E67B1"/>
    <w:rsid w:val="002F0352"/>
    <w:rsid w:val="002F270B"/>
    <w:rsid w:val="002F4075"/>
    <w:rsid w:val="002F4DB3"/>
    <w:rsid w:val="002F5A61"/>
    <w:rsid w:val="002F60CF"/>
    <w:rsid w:val="002F67D4"/>
    <w:rsid w:val="002F67FD"/>
    <w:rsid w:val="00300DB9"/>
    <w:rsid w:val="00302224"/>
    <w:rsid w:val="00303285"/>
    <w:rsid w:val="003040A8"/>
    <w:rsid w:val="00304AF7"/>
    <w:rsid w:val="00305628"/>
    <w:rsid w:val="00305B7F"/>
    <w:rsid w:val="00307219"/>
    <w:rsid w:val="003100C4"/>
    <w:rsid w:val="00310A57"/>
    <w:rsid w:val="003119C5"/>
    <w:rsid w:val="0031306B"/>
    <w:rsid w:val="003142C5"/>
    <w:rsid w:val="00316580"/>
    <w:rsid w:val="00316CBE"/>
    <w:rsid w:val="003224C0"/>
    <w:rsid w:val="00322A59"/>
    <w:rsid w:val="003230E7"/>
    <w:rsid w:val="003231FB"/>
    <w:rsid w:val="00325A91"/>
    <w:rsid w:val="003275F4"/>
    <w:rsid w:val="00330BFB"/>
    <w:rsid w:val="00335A1D"/>
    <w:rsid w:val="00337457"/>
    <w:rsid w:val="00337947"/>
    <w:rsid w:val="00337CE3"/>
    <w:rsid w:val="00341227"/>
    <w:rsid w:val="0034371E"/>
    <w:rsid w:val="00346560"/>
    <w:rsid w:val="0034792B"/>
    <w:rsid w:val="00347AB7"/>
    <w:rsid w:val="00350B92"/>
    <w:rsid w:val="00352BB7"/>
    <w:rsid w:val="00352E3A"/>
    <w:rsid w:val="0035336E"/>
    <w:rsid w:val="00354081"/>
    <w:rsid w:val="0035760C"/>
    <w:rsid w:val="003576C4"/>
    <w:rsid w:val="00362773"/>
    <w:rsid w:val="003628FB"/>
    <w:rsid w:val="00363AE1"/>
    <w:rsid w:val="0036434E"/>
    <w:rsid w:val="0036465D"/>
    <w:rsid w:val="00365768"/>
    <w:rsid w:val="0037141A"/>
    <w:rsid w:val="00372892"/>
    <w:rsid w:val="00373309"/>
    <w:rsid w:val="00375C7D"/>
    <w:rsid w:val="0037687A"/>
    <w:rsid w:val="003772E8"/>
    <w:rsid w:val="003816E9"/>
    <w:rsid w:val="00382987"/>
    <w:rsid w:val="00390BA1"/>
    <w:rsid w:val="00392CE6"/>
    <w:rsid w:val="00395F36"/>
    <w:rsid w:val="0039681F"/>
    <w:rsid w:val="00397223"/>
    <w:rsid w:val="003978C2"/>
    <w:rsid w:val="00397E63"/>
    <w:rsid w:val="003A1963"/>
    <w:rsid w:val="003A2E53"/>
    <w:rsid w:val="003A4749"/>
    <w:rsid w:val="003A5404"/>
    <w:rsid w:val="003A5B0D"/>
    <w:rsid w:val="003B1713"/>
    <w:rsid w:val="003B2261"/>
    <w:rsid w:val="003B34BC"/>
    <w:rsid w:val="003B4036"/>
    <w:rsid w:val="003B408E"/>
    <w:rsid w:val="003B4B0F"/>
    <w:rsid w:val="003B7CB4"/>
    <w:rsid w:val="003C0990"/>
    <w:rsid w:val="003C2891"/>
    <w:rsid w:val="003C3C3A"/>
    <w:rsid w:val="003C4DC4"/>
    <w:rsid w:val="003C6F65"/>
    <w:rsid w:val="003D305C"/>
    <w:rsid w:val="003D5799"/>
    <w:rsid w:val="003D7B46"/>
    <w:rsid w:val="003D7F5C"/>
    <w:rsid w:val="003E7681"/>
    <w:rsid w:val="003E7A1F"/>
    <w:rsid w:val="003E7C88"/>
    <w:rsid w:val="003F0387"/>
    <w:rsid w:val="003F0552"/>
    <w:rsid w:val="003F2B5B"/>
    <w:rsid w:val="003F3E0F"/>
    <w:rsid w:val="003F4B92"/>
    <w:rsid w:val="003F54FF"/>
    <w:rsid w:val="00401596"/>
    <w:rsid w:val="00401675"/>
    <w:rsid w:val="00402281"/>
    <w:rsid w:val="00402492"/>
    <w:rsid w:val="00404B9C"/>
    <w:rsid w:val="00404EC3"/>
    <w:rsid w:val="00405106"/>
    <w:rsid w:val="00405CE8"/>
    <w:rsid w:val="004077EA"/>
    <w:rsid w:val="00407E36"/>
    <w:rsid w:val="004101C2"/>
    <w:rsid w:val="004120AC"/>
    <w:rsid w:val="004130BE"/>
    <w:rsid w:val="004130CF"/>
    <w:rsid w:val="004152E3"/>
    <w:rsid w:val="00417B03"/>
    <w:rsid w:val="00422EC4"/>
    <w:rsid w:val="00423179"/>
    <w:rsid w:val="004236C7"/>
    <w:rsid w:val="00427901"/>
    <w:rsid w:val="00432E1A"/>
    <w:rsid w:val="00433F9D"/>
    <w:rsid w:val="0043404D"/>
    <w:rsid w:val="00435BBF"/>
    <w:rsid w:val="00436983"/>
    <w:rsid w:val="00441089"/>
    <w:rsid w:val="0044136C"/>
    <w:rsid w:val="004442D9"/>
    <w:rsid w:val="004443BE"/>
    <w:rsid w:val="004448F6"/>
    <w:rsid w:val="00445AAB"/>
    <w:rsid w:val="00446567"/>
    <w:rsid w:val="004465D0"/>
    <w:rsid w:val="004476DE"/>
    <w:rsid w:val="00450F9D"/>
    <w:rsid w:val="00453B29"/>
    <w:rsid w:val="004547AC"/>
    <w:rsid w:val="00454AB5"/>
    <w:rsid w:val="00455877"/>
    <w:rsid w:val="00455E2E"/>
    <w:rsid w:val="004565CC"/>
    <w:rsid w:val="00456988"/>
    <w:rsid w:val="00457FCD"/>
    <w:rsid w:val="00462C78"/>
    <w:rsid w:val="00463421"/>
    <w:rsid w:val="0046668A"/>
    <w:rsid w:val="00467164"/>
    <w:rsid w:val="00470F13"/>
    <w:rsid w:val="00472E6F"/>
    <w:rsid w:val="0047392E"/>
    <w:rsid w:val="00473972"/>
    <w:rsid w:val="004773DE"/>
    <w:rsid w:val="00477B70"/>
    <w:rsid w:val="00477F88"/>
    <w:rsid w:val="004801F7"/>
    <w:rsid w:val="00480647"/>
    <w:rsid w:val="00484271"/>
    <w:rsid w:val="00485117"/>
    <w:rsid w:val="004858C2"/>
    <w:rsid w:val="004942F8"/>
    <w:rsid w:val="004A06D1"/>
    <w:rsid w:val="004A08B2"/>
    <w:rsid w:val="004A26B3"/>
    <w:rsid w:val="004A4254"/>
    <w:rsid w:val="004A532A"/>
    <w:rsid w:val="004B023E"/>
    <w:rsid w:val="004B1269"/>
    <w:rsid w:val="004B211F"/>
    <w:rsid w:val="004B6290"/>
    <w:rsid w:val="004B6C5D"/>
    <w:rsid w:val="004B709E"/>
    <w:rsid w:val="004C17C2"/>
    <w:rsid w:val="004C17E7"/>
    <w:rsid w:val="004C3849"/>
    <w:rsid w:val="004C47D5"/>
    <w:rsid w:val="004C61CE"/>
    <w:rsid w:val="004C69FA"/>
    <w:rsid w:val="004D03DD"/>
    <w:rsid w:val="004D3C4D"/>
    <w:rsid w:val="004D44BC"/>
    <w:rsid w:val="004E035A"/>
    <w:rsid w:val="004E395C"/>
    <w:rsid w:val="004E3EE9"/>
    <w:rsid w:val="004E4329"/>
    <w:rsid w:val="004E5B33"/>
    <w:rsid w:val="004E6E92"/>
    <w:rsid w:val="004E7772"/>
    <w:rsid w:val="004F057A"/>
    <w:rsid w:val="004F0AF1"/>
    <w:rsid w:val="004F40A6"/>
    <w:rsid w:val="004F6523"/>
    <w:rsid w:val="00502895"/>
    <w:rsid w:val="00503AB8"/>
    <w:rsid w:val="00504C34"/>
    <w:rsid w:val="00505C5D"/>
    <w:rsid w:val="0050643B"/>
    <w:rsid w:val="00506462"/>
    <w:rsid w:val="00506517"/>
    <w:rsid w:val="00513DA8"/>
    <w:rsid w:val="00514978"/>
    <w:rsid w:val="00516580"/>
    <w:rsid w:val="00521460"/>
    <w:rsid w:val="005215FB"/>
    <w:rsid w:val="00521A0D"/>
    <w:rsid w:val="00521EF1"/>
    <w:rsid w:val="00522CBA"/>
    <w:rsid w:val="00523073"/>
    <w:rsid w:val="00526999"/>
    <w:rsid w:val="00531228"/>
    <w:rsid w:val="00532486"/>
    <w:rsid w:val="0053268E"/>
    <w:rsid w:val="00532C7B"/>
    <w:rsid w:val="00541774"/>
    <w:rsid w:val="00543005"/>
    <w:rsid w:val="005438E1"/>
    <w:rsid w:val="005458D3"/>
    <w:rsid w:val="00547E37"/>
    <w:rsid w:val="0055123B"/>
    <w:rsid w:val="00552D38"/>
    <w:rsid w:val="00555785"/>
    <w:rsid w:val="0055585C"/>
    <w:rsid w:val="00556C25"/>
    <w:rsid w:val="00557D1B"/>
    <w:rsid w:val="00560895"/>
    <w:rsid w:val="0056397C"/>
    <w:rsid w:val="005670DB"/>
    <w:rsid w:val="0057136A"/>
    <w:rsid w:val="005801C9"/>
    <w:rsid w:val="0058130A"/>
    <w:rsid w:val="005815DD"/>
    <w:rsid w:val="00582106"/>
    <w:rsid w:val="00582E9C"/>
    <w:rsid w:val="00583F3A"/>
    <w:rsid w:val="00585C1C"/>
    <w:rsid w:val="0058789B"/>
    <w:rsid w:val="005904C4"/>
    <w:rsid w:val="005905BC"/>
    <w:rsid w:val="00592AB9"/>
    <w:rsid w:val="00592EBA"/>
    <w:rsid w:val="005967BB"/>
    <w:rsid w:val="00596A00"/>
    <w:rsid w:val="00597E43"/>
    <w:rsid w:val="005A3169"/>
    <w:rsid w:val="005A5857"/>
    <w:rsid w:val="005A658D"/>
    <w:rsid w:val="005A6D10"/>
    <w:rsid w:val="005A76C3"/>
    <w:rsid w:val="005B1E14"/>
    <w:rsid w:val="005B205F"/>
    <w:rsid w:val="005B3D7F"/>
    <w:rsid w:val="005B588A"/>
    <w:rsid w:val="005B6E19"/>
    <w:rsid w:val="005C0C80"/>
    <w:rsid w:val="005C105F"/>
    <w:rsid w:val="005C1213"/>
    <w:rsid w:val="005C1534"/>
    <w:rsid w:val="005C2323"/>
    <w:rsid w:val="005C23E1"/>
    <w:rsid w:val="005C25B4"/>
    <w:rsid w:val="005C2AE0"/>
    <w:rsid w:val="005C3313"/>
    <w:rsid w:val="005C52FD"/>
    <w:rsid w:val="005D0A29"/>
    <w:rsid w:val="005D0E23"/>
    <w:rsid w:val="005D15A4"/>
    <w:rsid w:val="005D16E7"/>
    <w:rsid w:val="005D25EF"/>
    <w:rsid w:val="005D279A"/>
    <w:rsid w:val="005D3B93"/>
    <w:rsid w:val="005D7E99"/>
    <w:rsid w:val="005E34B7"/>
    <w:rsid w:val="005E634F"/>
    <w:rsid w:val="005F111E"/>
    <w:rsid w:val="005F38E9"/>
    <w:rsid w:val="005F3DC9"/>
    <w:rsid w:val="005F42EA"/>
    <w:rsid w:val="005F4992"/>
    <w:rsid w:val="005F6A8B"/>
    <w:rsid w:val="00601C30"/>
    <w:rsid w:val="0060347E"/>
    <w:rsid w:val="00603C73"/>
    <w:rsid w:val="0060505D"/>
    <w:rsid w:val="00607158"/>
    <w:rsid w:val="0060735A"/>
    <w:rsid w:val="00610986"/>
    <w:rsid w:val="00613CB2"/>
    <w:rsid w:val="006151F1"/>
    <w:rsid w:val="006160E1"/>
    <w:rsid w:val="00616A87"/>
    <w:rsid w:val="006211B4"/>
    <w:rsid w:val="00621B04"/>
    <w:rsid w:val="00625D1F"/>
    <w:rsid w:val="00626508"/>
    <w:rsid w:val="00626F52"/>
    <w:rsid w:val="006308BE"/>
    <w:rsid w:val="006315C3"/>
    <w:rsid w:val="00635182"/>
    <w:rsid w:val="00636DD0"/>
    <w:rsid w:val="00636F46"/>
    <w:rsid w:val="00637EB2"/>
    <w:rsid w:val="0064189E"/>
    <w:rsid w:val="00641BD9"/>
    <w:rsid w:val="006427FE"/>
    <w:rsid w:val="00643628"/>
    <w:rsid w:val="006446C4"/>
    <w:rsid w:val="00644D70"/>
    <w:rsid w:val="00644F73"/>
    <w:rsid w:val="00647EC8"/>
    <w:rsid w:val="00650213"/>
    <w:rsid w:val="0065215E"/>
    <w:rsid w:val="00652730"/>
    <w:rsid w:val="00652B43"/>
    <w:rsid w:val="00653490"/>
    <w:rsid w:val="00656A62"/>
    <w:rsid w:val="00656E7C"/>
    <w:rsid w:val="006610A9"/>
    <w:rsid w:val="0066326E"/>
    <w:rsid w:val="00663C2C"/>
    <w:rsid w:val="00663D58"/>
    <w:rsid w:val="00664192"/>
    <w:rsid w:val="00667259"/>
    <w:rsid w:val="00675F9B"/>
    <w:rsid w:val="006773B0"/>
    <w:rsid w:val="00680830"/>
    <w:rsid w:val="00680B99"/>
    <w:rsid w:val="00680D45"/>
    <w:rsid w:val="00680E49"/>
    <w:rsid w:val="00680EA8"/>
    <w:rsid w:val="00681CB6"/>
    <w:rsid w:val="0068373C"/>
    <w:rsid w:val="006841B3"/>
    <w:rsid w:val="00684ED9"/>
    <w:rsid w:val="00685760"/>
    <w:rsid w:val="00685AB2"/>
    <w:rsid w:val="00685F74"/>
    <w:rsid w:val="0068614A"/>
    <w:rsid w:val="00687088"/>
    <w:rsid w:val="00687D11"/>
    <w:rsid w:val="00690B99"/>
    <w:rsid w:val="00691195"/>
    <w:rsid w:val="00691579"/>
    <w:rsid w:val="00693F21"/>
    <w:rsid w:val="00696145"/>
    <w:rsid w:val="00696E39"/>
    <w:rsid w:val="006A1319"/>
    <w:rsid w:val="006A2715"/>
    <w:rsid w:val="006A2C5D"/>
    <w:rsid w:val="006A6232"/>
    <w:rsid w:val="006A6345"/>
    <w:rsid w:val="006B1906"/>
    <w:rsid w:val="006B353A"/>
    <w:rsid w:val="006B733B"/>
    <w:rsid w:val="006C242F"/>
    <w:rsid w:val="006C2712"/>
    <w:rsid w:val="006C29AB"/>
    <w:rsid w:val="006C3248"/>
    <w:rsid w:val="006C3A10"/>
    <w:rsid w:val="006C60D5"/>
    <w:rsid w:val="006C6DCD"/>
    <w:rsid w:val="006C76D0"/>
    <w:rsid w:val="006C7CE6"/>
    <w:rsid w:val="006D0228"/>
    <w:rsid w:val="006D214D"/>
    <w:rsid w:val="006D3AF0"/>
    <w:rsid w:val="006E044F"/>
    <w:rsid w:val="006E4563"/>
    <w:rsid w:val="006E6657"/>
    <w:rsid w:val="006E6BA0"/>
    <w:rsid w:val="006F0773"/>
    <w:rsid w:val="006F1753"/>
    <w:rsid w:val="006F1967"/>
    <w:rsid w:val="006F1CBE"/>
    <w:rsid w:val="006F3B0D"/>
    <w:rsid w:val="006F4433"/>
    <w:rsid w:val="006F63DC"/>
    <w:rsid w:val="006F705D"/>
    <w:rsid w:val="00706660"/>
    <w:rsid w:val="007077D7"/>
    <w:rsid w:val="00707B57"/>
    <w:rsid w:val="007108DC"/>
    <w:rsid w:val="00712184"/>
    <w:rsid w:val="00712EDF"/>
    <w:rsid w:val="00713B01"/>
    <w:rsid w:val="00714835"/>
    <w:rsid w:val="00714A62"/>
    <w:rsid w:val="007158BA"/>
    <w:rsid w:val="007160B4"/>
    <w:rsid w:val="00716F2C"/>
    <w:rsid w:val="00717D4D"/>
    <w:rsid w:val="007232AE"/>
    <w:rsid w:val="00724225"/>
    <w:rsid w:val="007245C6"/>
    <w:rsid w:val="00726801"/>
    <w:rsid w:val="0072734E"/>
    <w:rsid w:val="00727482"/>
    <w:rsid w:val="00727E02"/>
    <w:rsid w:val="007313BB"/>
    <w:rsid w:val="00731C89"/>
    <w:rsid w:val="007322E5"/>
    <w:rsid w:val="00732CF2"/>
    <w:rsid w:val="0073352F"/>
    <w:rsid w:val="0073363A"/>
    <w:rsid w:val="0073597B"/>
    <w:rsid w:val="00735B15"/>
    <w:rsid w:val="00735C60"/>
    <w:rsid w:val="007374D2"/>
    <w:rsid w:val="00737690"/>
    <w:rsid w:val="00740130"/>
    <w:rsid w:val="007432DF"/>
    <w:rsid w:val="0075187A"/>
    <w:rsid w:val="007519E6"/>
    <w:rsid w:val="00753ADB"/>
    <w:rsid w:val="00753F01"/>
    <w:rsid w:val="00754C3B"/>
    <w:rsid w:val="00755A31"/>
    <w:rsid w:val="007608D4"/>
    <w:rsid w:val="00767645"/>
    <w:rsid w:val="007729DD"/>
    <w:rsid w:val="00773223"/>
    <w:rsid w:val="00774165"/>
    <w:rsid w:val="00774E70"/>
    <w:rsid w:val="00776B5D"/>
    <w:rsid w:val="00780695"/>
    <w:rsid w:val="007809A4"/>
    <w:rsid w:val="007813A2"/>
    <w:rsid w:val="007838E0"/>
    <w:rsid w:val="00784CA2"/>
    <w:rsid w:val="00785251"/>
    <w:rsid w:val="007857D1"/>
    <w:rsid w:val="00787B97"/>
    <w:rsid w:val="00791D95"/>
    <w:rsid w:val="007A0743"/>
    <w:rsid w:val="007A0AD6"/>
    <w:rsid w:val="007A0D8D"/>
    <w:rsid w:val="007A13DD"/>
    <w:rsid w:val="007A1B59"/>
    <w:rsid w:val="007A2843"/>
    <w:rsid w:val="007A3ECD"/>
    <w:rsid w:val="007A44D5"/>
    <w:rsid w:val="007A4C14"/>
    <w:rsid w:val="007A6DB8"/>
    <w:rsid w:val="007A7E89"/>
    <w:rsid w:val="007B32FC"/>
    <w:rsid w:val="007B3A21"/>
    <w:rsid w:val="007B466B"/>
    <w:rsid w:val="007B6889"/>
    <w:rsid w:val="007B7661"/>
    <w:rsid w:val="007D0089"/>
    <w:rsid w:val="007D3A26"/>
    <w:rsid w:val="007D4650"/>
    <w:rsid w:val="007D7187"/>
    <w:rsid w:val="007E41DA"/>
    <w:rsid w:val="007E57D2"/>
    <w:rsid w:val="007E6A8A"/>
    <w:rsid w:val="007E7AB4"/>
    <w:rsid w:val="007F42C3"/>
    <w:rsid w:val="007F4FE3"/>
    <w:rsid w:val="007F5107"/>
    <w:rsid w:val="007F738E"/>
    <w:rsid w:val="007F79D2"/>
    <w:rsid w:val="00801D42"/>
    <w:rsid w:val="00804E9E"/>
    <w:rsid w:val="00806FA6"/>
    <w:rsid w:val="00807444"/>
    <w:rsid w:val="008106F4"/>
    <w:rsid w:val="00810A97"/>
    <w:rsid w:val="00810ACA"/>
    <w:rsid w:val="00811393"/>
    <w:rsid w:val="00812D95"/>
    <w:rsid w:val="00814146"/>
    <w:rsid w:val="008143D2"/>
    <w:rsid w:val="008151DE"/>
    <w:rsid w:val="008154DF"/>
    <w:rsid w:val="00815C8A"/>
    <w:rsid w:val="00817FD7"/>
    <w:rsid w:val="0082097B"/>
    <w:rsid w:val="00824CD3"/>
    <w:rsid w:val="00825414"/>
    <w:rsid w:val="0082646A"/>
    <w:rsid w:val="00833C23"/>
    <w:rsid w:val="008346CC"/>
    <w:rsid w:val="00834FE5"/>
    <w:rsid w:val="00842C4D"/>
    <w:rsid w:val="00843843"/>
    <w:rsid w:val="00843949"/>
    <w:rsid w:val="008442A9"/>
    <w:rsid w:val="00846F8E"/>
    <w:rsid w:val="00850043"/>
    <w:rsid w:val="0085130A"/>
    <w:rsid w:val="00851478"/>
    <w:rsid w:val="00851E64"/>
    <w:rsid w:val="0085431C"/>
    <w:rsid w:val="00854DBB"/>
    <w:rsid w:val="0085521B"/>
    <w:rsid w:val="00855BA2"/>
    <w:rsid w:val="00860253"/>
    <w:rsid w:val="00860C1C"/>
    <w:rsid w:val="00866D4D"/>
    <w:rsid w:val="00867278"/>
    <w:rsid w:val="00870C29"/>
    <w:rsid w:val="00872BDE"/>
    <w:rsid w:val="00876C81"/>
    <w:rsid w:val="00876FD7"/>
    <w:rsid w:val="00877B5A"/>
    <w:rsid w:val="00880482"/>
    <w:rsid w:val="00880F0E"/>
    <w:rsid w:val="00881601"/>
    <w:rsid w:val="00882F45"/>
    <w:rsid w:val="008833F3"/>
    <w:rsid w:val="0088383D"/>
    <w:rsid w:val="00890F95"/>
    <w:rsid w:val="00892843"/>
    <w:rsid w:val="00894658"/>
    <w:rsid w:val="00896D2B"/>
    <w:rsid w:val="008970A7"/>
    <w:rsid w:val="008970DD"/>
    <w:rsid w:val="008A0C3F"/>
    <w:rsid w:val="008A3BEB"/>
    <w:rsid w:val="008A450C"/>
    <w:rsid w:val="008A54D1"/>
    <w:rsid w:val="008A6F03"/>
    <w:rsid w:val="008B1482"/>
    <w:rsid w:val="008B35E4"/>
    <w:rsid w:val="008B4A04"/>
    <w:rsid w:val="008B5445"/>
    <w:rsid w:val="008B5ECD"/>
    <w:rsid w:val="008B7D2C"/>
    <w:rsid w:val="008C0374"/>
    <w:rsid w:val="008C22B3"/>
    <w:rsid w:val="008C2B7A"/>
    <w:rsid w:val="008C2CA3"/>
    <w:rsid w:val="008C2D4C"/>
    <w:rsid w:val="008C4FFC"/>
    <w:rsid w:val="008C53E4"/>
    <w:rsid w:val="008C7585"/>
    <w:rsid w:val="008D548C"/>
    <w:rsid w:val="008D6C82"/>
    <w:rsid w:val="008D7F71"/>
    <w:rsid w:val="008E0458"/>
    <w:rsid w:val="008E0F7E"/>
    <w:rsid w:val="008E1555"/>
    <w:rsid w:val="008E1C3E"/>
    <w:rsid w:val="008E42B3"/>
    <w:rsid w:val="008E6CB2"/>
    <w:rsid w:val="008E7360"/>
    <w:rsid w:val="008F1D89"/>
    <w:rsid w:val="008F2D45"/>
    <w:rsid w:val="008F3A8C"/>
    <w:rsid w:val="008F3DC4"/>
    <w:rsid w:val="008F45A9"/>
    <w:rsid w:val="008F56B9"/>
    <w:rsid w:val="008F6BDF"/>
    <w:rsid w:val="00903A92"/>
    <w:rsid w:val="00904BC7"/>
    <w:rsid w:val="00910B35"/>
    <w:rsid w:val="00912AA0"/>
    <w:rsid w:val="009131DE"/>
    <w:rsid w:val="0091353A"/>
    <w:rsid w:val="00913E5E"/>
    <w:rsid w:val="00914D60"/>
    <w:rsid w:val="00915474"/>
    <w:rsid w:val="00917BAA"/>
    <w:rsid w:val="00920E90"/>
    <w:rsid w:val="00921F67"/>
    <w:rsid w:val="009234BD"/>
    <w:rsid w:val="00923E61"/>
    <w:rsid w:val="00925095"/>
    <w:rsid w:val="0092533A"/>
    <w:rsid w:val="0092716B"/>
    <w:rsid w:val="00927EDE"/>
    <w:rsid w:val="009314F6"/>
    <w:rsid w:val="00932810"/>
    <w:rsid w:val="0093514F"/>
    <w:rsid w:val="00935DFA"/>
    <w:rsid w:val="00937EB2"/>
    <w:rsid w:val="009405B7"/>
    <w:rsid w:val="00941000"/>
    <w:rsid w:val="00942517"/>
    <w:rsid w:val="0094259C"/>
    <w:rsid w:val="00943BFD"/>
    <w:rsid w:val="00944C18"/>
    <w:rsid w:val="00944C6D"/>
    <w:rsid w:val="00946ADC"/>
    <w:rsid w:val="00947451"/>
    <w:rsid w:val="009534FC"/>
    <w:rsid w:val="009557E5"/>
    <w:rsid w:val="00955945"/>
    <w:rsid w:val="00955CB4"/>
    <w:rsid w:val="0095625F"/>
    <w:rsid w:val="00956299"/>
    <w:rsid w:val="009565F9"/>
    <w:rsid w:val="009600FC"/>
    <w:rsid w:val="00961448"/>
    <w:rsid w:val="00962329"/>
    <w:rsid w:val="00964433"/>
    <w:rsid w:val="0096467F"/>
    <w:rsid w:val="00964DFB"/>
    <w:rsid w:val="00967508"/>
    <w:rsid w:val="00976AA3"/>
    <w:rsid w:val="0098123D"/>
    <w:rsid w:val="0098191D"/>
    <w:rsid w:val="00982223"/>
    <w:rsid w:val="00982E73"/>
    <w:rsid w:val="009849C3"/>
    <w:rsid w:val="00985487"/>
    <w:rsid w:val="00985ED0"/>
    <w:rsid w:val="009862E2"/>
    <w:rsid w:val="00987757"/>
    <w:rsid w:val="00993655"/>
    <w:rsid w:val="00994337"/>
    <w:rsid w:val="009944D3"/>
    <w:rsid w:val="00995A0A"/>
    <w:rsid w:val="00996523"/>
    <w:rsid w:val="00997C07"/>
    <w:rsid w:val="00997ED9"/>
    <w:rsid w:val="009A05B8"/>
    <w:rsid w:val="009A0A50"/>
    <w:rsid w:val="009A182E"/>
    <w:rsid w:val="009A3BBD"/>
    <w:rsid w:val="009A73DB"/>
    <w:rsid w:val="009A7745"/>
    <w:rsid w:val="009B078E"/>
    <w:rsid w:val="009B23D5"/>
    <w:rsid w:val="009B2530"/>
    <w:rsid w:val="009B28A7"/>
    <w:rsid w:val="009B4346"/>
    <w:rsid w:val="009B4DF5"/>
    <w:rsid w:val="009C00B8"/>
    <w:rsid w:val="009C1CE0"/>
    <w:rsid w:val="009C30B5"/>
    <w:rsid w:val="009C3710"/>
    <w:rsid w:val="009C6284"/>
    <w:rsid w:val="009C6491"/>
    <w:rsid w:val="009C6B6C"/>
    <w:rsid w:val="009D5E73"/>
    <w:rsid w:val="009D6243"/>
    <w:rsid w:val="009E0015"/>
    <w:rsid w:val="009E09BE"/>
    <w:rsid w:val="009E1C34"/>
    <w:rsid w:val="009E3D86"/>
    <w:rsid w:val="009E3F90"/>
    <w:rsid w:val="009E59D6"/>
    <w:rsid w:val="009F0D02"/>
    <w:rsid w:val="009F14A3"/>
    <w:rsid w:val="009F2471"/>
    <w:rsid w:val="009F4106"/>
    <w:rsid w:val="009F577D"/>
    <w:rsid w:val="009F657E"/>
    <w:rsid w:val="009F67C0"/>
    <w:rsid w:val="009F70B4"/>
    <w:rsid w:val="00A0201A"/>
    <w:rsid w:val="00A028F4"/>
    <w:rsid w:val="00A064DD"/>
    <w:rsid w:val="00A102CC"/>
    <w:rsid w:val="00A107E5"/>
    <w:rsid w:val="00A11AF2"/>
    <w:rsid w:val="00A134CF"/>
    <w:rsid w:val="00A14D45"/>
    <w:rsid w:val="00A216A7"/>
    <w:rsid w:val="00A22D1A"/>
    <w:rsid w:val="00A264DB"/>
    <w:rsid w:val="00A27581"/>
    <w:rsid w:val="00A304B5"/>
    <w:rsid w:val="00A312BC"/>
    <w:rsid w:val="00A33184"/>
    <w:rsid w:val="00A33FD7"/>
    <w:rsid w:val="00A34D11"/>
    <w:rsid w:val="00A34F61"/>
    <w:rsid w:val="00A36335"/>
    <w:rsid w:val="00A40915"/>
    <w:rsid w:val="00A40A1C"/>
    <w:rsid w:val="00A41851"/>
    <w:rsid w:val="00A44569"/>
    <w:rsid w:val="00A44F75"/>
    <w:rsid w:val="00A45F5F"/>
    <w:rsid w:val="00A50564"/>
    <w:rsid w:val="00A53B0A"/>
    <w:rsid w:val="00A53D17"/>
    <w:rsid w:val="00A53EEB"/>
    <w:rsid w:val="00A549A7"/>
    <w:rsid w:val="00A5537F"/>
    <w:rsid w:val="00A55440"/>
    <w:rsid w:val="00A57924"/>
    <w:rsid w:val="00A57DC7"/>
    <w:rsid w:val="00A60302"/>
    <w:rsid w:val="00A60700"/>
    <w:rsid w:val="00A6147A"/>
    <w:rsid w:val="00A61703"/>
    <w:rsid w:val="00A66AA6"/>
    <w:rsid w:val="00A70817"/>
    <w:rsid w:val="00A70871"/>
    <w:rsid w:val="00A713C7"/>
    <w:rsid w:val="00A71C37"/>
    <w:rsid w:val="00A73269"/>
    <w:rsid w:val="00A73F98"/>
    <w:rsid w:val="00A75CF2"/>
    <w:rsid w:val="00A8027B"/>
    <w:rsid w:val="00A8149C"/>
    <w:rsid w:val="00A82508"/>
    <w:rsid w:val="00A82655"/>
    <w:rsid w:val="00A84AF6"/>
    <w:rsid w:val="00A84E85"/>
    <w:rsid w:val="00A857F0"/>
    <w:rsid w:val="00A92ADC"/>
    <w:rsid w:val="00A93AC5"/>
    <w:rsid w:val="00A943C8"/>
    <w:rsid w:val="00A94BB3"/>
    <w:rsid w:val="00A95301"/>
    <w:rsid w:val="00A96D87"/>
    <w:rsid w:val="00AA0D60"/>
    <w:rsid w:val="00AA1A50"/>
    <w:rsid w:val="00AA2B12"/>
    <w:rsid w:val="00AA469A"/>
    <w:rsid w:val="00AA4F22"/>
    <w:rsid w:val="00AA58A5"/>
    <w:rsid w:val="00AA5E9E"/>
    <w:rsid w:val="00AB1B2C"/>
    <w:rsid w:val="00AB3938"/>
    <w:rsid w:val="00AB43FC"/>
    <w:rsid w:val="00AB4B0C"/>
    <w:rsid w:val="00AB6652"/>
    <w:rsid w:val="00AB6A41"/>
    <w:rsid w:val="00AB7CF1"/>
    <w:rsid w:val="00AC05AF"/>
    <w:rsid w:val="00AC102F"/>
    <w:rsid w:val="00AC143D"/>
    <w:rsid w:val="00AC50E5"/>
    <w:rsid w:val="00AC55A7"/>
    <w:rsid w:val="00AC5ED5"/>
    <w:rsid w:val="00AC6FAA"/>
    <w:rsid w:val="00AD0F88"/>
    <w:rsid w:val="00AD12FE"/>
    <w:rsid w:val="00AD16DA"/>
    <w:rsid w:val="00AD17C5"/>
    <w:rsid w:val="00AD323B"/>
    <w:rsid w:val="00AD3410"/>
    <w:rsid w:val="00AD5AD5"/>
    <w:rsid w:val="00AD78DC"/>
    <w:rsid w:val="00AE0D4F"/>
    <w:rsid w:val="00AE0F74"/>
    <w:rsid w:val="00AE1430"/>
    <w:rsid w:val="00AE1476"/>
    <w:rsid w:val="00AE43D8"/>
    <w:rsid w:val="00AE49C8"/>
    <w:rsid w:val="00AE58BE"/>
    <w:rsid w:val="00AE7B53"/>
    <w:rsid w:val="00AF3765"/>
    <w:rsid w:val="00B0038D"/>
    <w:rsid w:val="00B009C6"/>
    <w:rsid w:val="00B021C3"/>
    <w:rsid w:val="00B02834"/>
    <w:rsid w:val="00B03E67"/>
    <w:rsid w:val="00B10DB7"/>
    <w:rsid w:val="00B123E7"/>
    <w:rsid w:val="00B127A9"/>
    <w:rsid w:val="00B12A30"/>
    <w:rsid w:val="00B12CAB"/>
    <w:rsid w:val="00B22279"/>
    <w:rsid w:val="00B22837"/>
    <w:rsid w:val="00B22A1F"/>
    <w:rsid w:val="00B25FFA"/>
    <w:rsid w:val="00B30261"/>
    <w:rsid w:val="00B307B1"/>
    <w:rsid w:val="00B30D06"/>
    <w:rsid w:val="00B31D44"/>
    <w:rsid w:val="00B3698F"/>
    <w:rsid w:val="00B36C35"/>
    <w:rsid w:val="00B37F8D"/>
    <w:rsid w:val="00B44583"/>
    <w:rsid w:val="00B4539C"/>
    <w:rsid w:val="00B47281"/>
    <w:rsid w:val="00B50240"/>
    <w:rsid w:val="00B50957"/>
    <w:rsid w:val="00B51821"/>
    <w:rsid w:val="00B5266D"/>
    <w:rsid w:val="00B53991"/>
    <w:rsid w:val="00B541DE"/>
    <w:rsid w:val="00B5565F"/>
    <w:rsid w:val="00B57605"/>
    <w:rsid w:val="00B62426"/>
    <w:rsid w:val="00B62E84"/>
    <w:rsid w:val="00B70F01"/>
    <w:rsid w:val="00B71596"/>
    <w:rsid w:val="00B72446"/>
    <w:rsid w:val="00B739F9"/>
    <w:rsid w:val="00B73E3C"/>
    <w:rsid w:val="00B74A09"/>
    <w:rsid w:val="00B75787"/>
    <w:rsid w:val="00B761BD"/>
    <w:rsid w:val="00B761D1"/>
    <w:rsid w:val="00B80E6A"/>
    <w:rsid w:val="00B81604"/>
    <w:rsid w:val="00B81798"/>
    <w:rsid w:val="00B820BD"/>
    <w:rsid w:val="00B82AD0"/>
    <w:rsid w:val="00B83DA4"/>
    <w:rsid w:val="00B83DB3"/>
    <w:rsid w:val="00B852FB"/>
    <w:rsid w:val="00B86976"/>
    <w:rsid w:val="00B905A9"/>
    <w:rsid w:val="00B928A7"/>
    <w:rsid w:val="00B934C1"/>
    <w:rsid w:val="00B93B00"/>
    <w:rsid w:val="00B93F53"/>
    <w:rsid w:val="00B9696F"/>
    <w:rsid w:val="00B976F5"/>
    <w:rsid w:val="00BA1978"/>
    <w:rsid w:val="00BA3D29"/>
    <w:rsid w:val="00BA3F77"/>
    <w:rsid w:val="00BA64DF"/>
    <w:rsid w:val="00BA7724"/>
    <w:rsid w:val="00BA77B1"/>
    <w:rsid w:val="00BB01D4"/>
    <w:rsid w:val="00BB2FD2"/>
    <w:rsid w:val="00BB4B99"/>
    <w:rsid w:val="00BB6902"/>
    <w:rsid w:val="00BC146F"/>
    <w:rsid w:val="00BC238C"/>
    <w:rsid w:val="00BC42E1"/>
    <w:rsid w:val="00BC5B5D"/>
    <w:rsid w:val="00BC5C2A"/>
    <w:rsid w:val="00BC6112"/>
    <w:rsid w:val="00BD345C"/>
    <w:rsid w:val="00BE4DC4"/>
    <w:rsid w:val="00BE69B9"/>
    <w:rsid w:val="00BE6B04"/>
    <w:rsid w:val="00BF26FB"/>
    <w:rsid w:val="00BF3A33"/>
    <w:rsid w:val="00BF6087"/>
    <w:rsid w:val="00BF7F6E"/>
    <w:rsid w:val="00C0200E"/>
    <w:rsid w:val="00C02C38"/>
    <w:rsid w:val="00C0444E"/>
    <w:rsid w:val="00C04CA7"/>
    <w:rsid w:val="00C04F0A"/>
    <w:rsid w:val="00C06726"/>
    <w:rsid w:val="00C077C9"/>
    <w:rsid w:val="00C17987"/>
    <w:rsid w:val="00C202C8"/>
    <w:rsid w:val="00C209E9"/>
    <w:rsid w:val="00C23C88"/>
    <w:rsid w:val="00C24278"/>
    <w:rsid w:val="00C24E42"/>
    <w:rsid w:val="00C25F52"/>
    <w:rsid w:val="00C260DA"/>
    <w:rsid w:val="00C30D08"/>
    <w:rsid w:val="00C32944"/>
    <w:rsid w:val="00C32A20"/>
    <w:rsid w:val="00C3316C"/>
    <w:rsid w:val="00C35B74"/>
    <w:rsid w:val="00C35F91"/>
    <w:rsid w:val="00C36B0A"/>
    <w:rsid w:val="00C370AF"/>
    <w:rsid w:val="00C3773D"/>
    <w:rsid w:val="00C41243"/>
    <w:rsid w:val="00C415F5"/>
    <w:rsid w:val="00C41828"/>
    <w:rsid w:val="00C41EB4"/>
    <w:rsid w:val="00C423BD"/>
    <w:rsid w:val="00C44813"/>
    <w:rsid w:val="00C4615B"/>
    <w:rsid w:val="00C51C85"/>
    <w:rsid w:val="00C52829"/>
    <w:rsid w:val="00C54208"/>
    <w:rsid w:val="00C54BD6"/>
    <w:rsid w:val="00C55D8C"/>
    <w:rsid w:val="00C56643"/>
    <w:rsid w:val="00C571CE"/>
    <w:rsid w:val="00C5742A"/>
    <w:rsid w:val="00C6009F"/>
    <w:rsid w:val="00C60DC3"/>
    <w:rsid w:val="00C61ED8"/>
    <w:rsid w:val="00C62890"/>
    <w:rsid w:val="00C632CA"/>
    <w:rsid w:val="00C642DD"/>
    <w:rsid w:val="00C64BA1"/>
    <w:rsid w:val="00C64F3F"/>
    <w:rsid w:val="00C65469"/>
    <w:rsid w:val="00C6657F"/>
    <w:rsid w:val="00C66F5C"/>
    <w:rsid w:val="00C708ED"/>
    <w:rsid w:val="00C71050"/>
    <w:rsid w:val="00C71E34"/>
    <w:rsid w:val="00C73CA2"/>
    <w:rsid w:val="00C74D79"/>
    <w:rsid w:val="00C7624D"/>
    <w:rsid w:val="00C762DC"/>
    <w:rsid w:val="00C80785"/>
    <w:rsid w:val="00C821AF"/>
    <w:rsid w:val="00C829A3"/>
    <w:rsid w:val="00C86A5B"/>
    <w:rsid w:val="00C87D3F"/>
    <w:rsid w:val="00C90E89"/>
    <w:rsid w:val="00C910EF"/>
    <w:rsid w:val="00C92CFE"/>
    <w:rsid w:val="00CA2E9A"/>
    <w:rsid w:val="00CA4621"/>
    <w:rsid w:val="00CA5B3C"/>
    <w:rsid w:val="00CA7063"/>
    <w:rsid w:val="00CA7D34"/>
    <w:rsid w:val="00CB039D"/>
    <w:rsid w:val="00CB0AC5"/>
    <w:rsid w:val="00CB1CD1"/>
    <w:rsid w:val="00CB29C4"/>
    <w:rsid w:val="00CB5A8B"/>
    <w:rsid w:val="00CB5EEA"/>
    <w:rsid w:val="00CB7715"/>
    <w:rsid w:val="00CB7F70"/>
    <w:rsid w:val="00CC3A78"/>
    <w:rsid w:val="00CC4890"/>
    <w:rsid w:val="00CC56B1"/>
    <w:rsid w:val="00CC5D0C"/>
    <w:rsid w:val="00CC7DED"/>
    <w:rsid w:val="00CD0847"/>
    <w:rsid w:val="00CD0BD5"/>
    <w:rsid w:val="00CD369C"/>
    <w:rsid w:val="00CD4AD9"/>
    <w:rsid w:val="00CD6935"/>
    <w:rsid w:val="00CD6A16"/>
    <w:rsid w:val="00CD750C"/>
    <w:rsid w:val="00CD7FDF"/>
    <w:rsid w:val="00CE04F1"/>
    <w:rsid w:val="00CE13BE"/>
    <w:rsid w:val="00CE2B34"/>
    <w:rsid w:val="00CE324A"/>
    <w:rsid w:val="00CE66ED"/>
    <w:rsid w:val="00CE7EA4"/>
    <w:rsid w:val="00CF0BB1"/>
    <w:rsid w:val="00CF1B3A"/>
    <w:rsid w:val="00CF576B"/>
    <w:rsid w:val="00CF5770"/>
    <w:rsid w:val="00CF5B0B"/>
    <w:rsid w:val="00CF5B3F"/>
    <w:rsid w:val="00CF5EA1"/>
    <w:rsid w:val="00CF75AC"/>
    <w:rsid w:val="00D01047"/>
    <w:rsid w:val="00D02220"/>
    <w:rsid w:val="00D035A7"/>
    <w:rsid w:val="00D042D6"/>
    <w:rsid w:val="00D05076"/>
    <w:rsid w:val="00D06147"/>
    <w:rsid w:val="00D06988"/>
    <w:rsid w:val="00D07E86"/>
    <w:rsid w:val="00D07F5E"/>
    <w:rsid w:val="00D10056"/>
    <w:rsid w:val="00D15ACD"/>
    <w:rsid w:val="00D215C9"/>
    <w:rsid w:val="00D2308C"/>
    <w:rsid w:val="00D23117"/>
    <w:rsid w:val="00D238F4"/>
    <w:rsid w:val="00D24549"/>
    <w:rsid w:val="00D309AE"/>
    <w:rsid w:val="00D31025"/>
    <w:rsid w:val="00D31120"/>
    <w:rsid w:val="00D325B0"/>
    <w:rsid w:val="00D32B52"/>
    <w:rsid w:val="00D355F7"/>
    <w:rsid w:val="00D35E28"/>
    <w:rsid w:val="00D36C67"/>
    <w:rsid w:val="00D4034E"/>
    <w:rsid w:val="00D420F1"/>
    <w:rsid w:val="00D4391F"/>
    <w:rsid w:val="00D44138"/>
    <w:rsid w:val="00D50AD6"/>
    <w:rsid w:val="00D53A3A"/>
    <w:rsid w:val="00D53EA1"/>
    <w:rsid w:val="00D55753"/>
    <w:rsid w:val="00D55794"/>
    <w:rsid w:val="00D56601"/>
    <w:rsid w:val="00D576E7"/>
    <w:rsid w:val="00D603B9"/>
    <w:rsid w:val="00D60909"/>
    <w:rsid w:val="00D61A4E"/>
    <w:rsid w:val="00D64112"/>
    <w:rsid w:val="00D64D5E"/>
    <w:rsid w:val="00D711F6"/>
    <w:rsid w:val="00D71E7F"/>
    <w:rsid w:val="00D7417E"/>
    <w:rsid w:val="00D8087F"/>
    <w:rsid w:val="00D826BE"/>
    <w:rsid w:val="00D846AB"/>
    <w:rsid w:val="00D8486D"/>
    <w:rsid w:val="00D8488E"/>
    <w:rsid w:val="00D857F2"/>
    <w:rsid w:val="00D91EF9"/>
    <w:rsid w:val="00D9698D"/>
    <w:rsid w:val="00D97BF6"/>
    <w:rsid w:val="00DA1DD6"/>
    <w:rsid w:val="00DA1E63"/>
    <w:rsid w:val="00DA2420"/>
    <w:rsid w:val="00DA2767"/>
    <w:rsid w:val="00DA4151"/>
    <w:rsid w:val="00DA44CA"/>
    <w:rsid w:val="00DA559A"/>
    <w:rsid w:val="00DA61E5"/>
    <w:rsid w:val="00DA7A9D"/>
    <w:rsid w:val="00DB04B7"/>
    <w:rsid w:val="00DB0A18"/>
    <w:rsid w:val="00DB14DF"/>
    <w:rsid w:val="00DB1966"/>
    <w:rsid w:val="00DB2A59"/>
    <w:rsid w:val="00DB5342"/>
    <w:rsid w:val="00DB68EC"/>
    <w:rsid w:val="00DB7B27"/>
    <w:rsid w:val="00DC0F24"/>
    <w:rsid w:val="00DC1601"/>
    <w:rsid w:val="00DC224A"/>
    <w:rsid w:val="00DC23C0"/>
    <w:rsid w:val="00DC3A5A"/>
    <w:rsid w:val="00DC47C9"/>
    <w:rsid w:val="00DC67DC"/>
    <w:rsid w:val="00DD1398"/>
    <w:rsid w:val="00DD18F8"/>
    <w:rsid w:val="00DD2B67"/>
    <w:rsid w:val="00DD4492"/>
    <w:rsid w:val="00DD4ABC"/>
    <w:rsid w:val="00DD5374"/>
    <w:rsid w:val="00DD53A2"/>
    <w:rsid w:val="00DD693D"/>
    <w:rsid w:val="00DD6BD2"/>
    <w:rsid w:val="00DD6ECF"/>
    <w:rsid w:val="00DE0884"/>
    <w:rsid w:val="00DE50A1"/>
    <w:rsid w:val="00DE6A29"/>
    <w:rsid w:val="00DE79C1"/>
    <w:rsid w:val="00DF1D37"/>
    <w:rsid w:val="00DF216E"/>
    <w:rsid w:val="00DF481D"/>
    <w:rsid w:val="00DF5BB1"/>
    <w:rsid w:val="00E0446A"/>
    <w:rsid w:val="00E107B1"/>
    <w:rsid w:val="00E128EC"/>
    <w:rsid w:val="00E12B2E"/>
    <w:rsid w:val="00E13612"/>
    <w:rsid w:val="00E16596"/>
    <w:rsid w:val="00E1714E"/>
    <w:rsid w:val="00E17A41"/>
    <w:rsid w:val="00E20688"/>
    <w:rsid w:val="00E208E2"/>
    <w:rsid w:val="00E21E0E"/>
    <w:rsid w:val="00E2283E"/>
    <w:rsid w:val="00E23048"/>
    <w:rsid w:val="00E23F9F"/>
    <w:rsid w:val="00E2645A"/>
    <w:rsid w:val="00E314D9"/>
    <w:rsid w:val="00E32459"/>
    <w:rsid w:val="00E33419"/>
    <w:rsid w:val="00E335C1"/>
    <w:rsid w:val="00E348F8"/>
    <w:rsid w:val="00E3692B"/>
    <w:rsid w:val="00E36A20"/>
    <w:rsid w:val="00E404E7"/>
    <w:rsid w:val="00E45253"/>
    <w:rsid w:val="00E4697C"/>
    <w:rsid w:val="00E47E74"/>
    <w:rsid w:val="00E51BDD"/>
    <w:rsid w:val="00E52BDB"/>
    <w:rsid w:val="00E5367E"/>
    <w:rsid w:val="00E5422F"/>
    <w:rsid w:val="00E54A42"/>
    <w:rsid w:val="00E577CF"/>
    <w:rsid w:val="00E6184F"/>
    <w:rsid w:val="00E61C4E"/>
    <w:rsid w:val="00E62B0A"/>
    <w:rsid w:val="00E63001"/>
    <w:rsid w:val="00E65559"/>
    <w:rsid w:val="00E73214"/>
    <w:rsid w:val="00E73426"/>
    <w:rsid w:val="00E743A6"/>
    <w:rsid w:val="00E817E2"/>
    <w:rsid w:val="00E82893"/>
    <w:rsid w:val="00E839E6"/>
    <w:rsid w:val="00E852EA"/>
    <w:rsid w:val="00E86B07"/>
    <w:rsid w:val="00E90317"/>
    <w:rsid w:val="00E917D2"/>
    <w:rsid w:val="00E94414"/>
    <w:rsid w:val="00E94644"/>
    <w:rsid w:val="00E94CFA"/>
    <w:rsid w:val="00E95EFD"/>
    <w:rsid w:val="00E968B1"/>
    <w:rsid w:val="00E96A95"/>
    <w:rsid w:val="00EA02BB"/>
    <w:rsid w:val="00EA1539"/>
    <w:rsid w:val="00EA1644"/>
    <w:rsid w:val="00EA464E"/>
    <w:rsid w:val="00EA6519"/>
    <w:rsid w:val="00EB09FB"/>
    <w:rsid w:val="00EB2629"/>
    <w:rsid w:val="00EB28DC"/>
    <w:rsid w:val="00EB2BD8"/>
    <w:rsid w:val="00EB36FE"/>
    <w:rsid w:val="00EB4886"/>
    <w:rsid w:val="00EB5B41"/>
    <w:rsid w:val="00EB66BB"/>
    <w:rsid w:val="00EC02A2"/>
    <w:rsid w:val="00EC3B3D"/>
    <w:rsid w:val="00EC3F74"/>
    <w:rsid w:val="00EC54E3"/>
    <w:rsid w:val="00EC57D6"/>
    <w:rsid w:val="00EC5F04"/>
    <w:rsid w:val="00ED07AE"/>
    <w:rsid w:val="00ED1B74"/>
    <w:rsid w:val="00ED4499"/>
    <w:rsid w:val="00ED5E16"/>
    <w:rsid w:val="00EE05E3"/>
    <w:rsid w:val="00EE0636"/>
    <w:rsid w:val="00EE13C3"/>
    <w:rsid w:val="00EE3056"/>
    <w:rsid w:val="00EE3E7F"/>
    <w:rsid w:val="00EE44C9"/>
    <w:rsid w:val="00EE5DFC"/>
    <w:rsid w:val="00EE70B9"/>
    <w:rsid w:val="00EE7C9E"/>
    <w:rsid w:val="00EF18FD"/>
    <w:rsid w:val="00EF1F69"/>
    <w:rsid w:val="00EF3FD9"/>
    <w:rsid w:val="00EF40A6"/>
    <w:rsid w:val="00EF5541"/>
    <w:rsid w:val="00EF5CC8"/>
    <w:rsid w:val="00EF5FD9"/>
    <w:rsid w:val="00EF71FE"/>
    <w:rsid w:val="00EF756A"/>
    <w:rsid w:val="00F0317E"/>
    <w:rsid w:val="00F03CEE"/>
    <w:rsid w:val="00F0469B"/>
    <w:rsid w:val="00F04A15"/>
    <w:rsid w:val="00F058FC"/>
    <w:rsid w:val="00F067E3"/>
    <w:rsid w:val="00F06A28"/>
    <w:rsid w:val="00F06BC1"/>
    <w:rsid w:val="00F06F10"/>
    <w:rsid w:val="00F1112F"/>
    <w:rsid w:val="00F14EDC"/>
    <w:rsid w:val="00F1666F"/>
    <w:rsid w:val="00F168D4"/>
    <w:rsid w:val="00F177CF"/>
    <w:rsid w:val="00F17842"/>
    <w:rsid w:val="00F217E3"/>
    <w:rsid w:val="00F218E2"/>
    <w:rsid w:val="00F23880"/>
    <w:rsid w:val="00F23A3E"/>
    <w:rsid w:val="00F23A60"/>
    <w:rsid w:val="00F23F6C"/>
    <w:rsid w:val="00F25442"/>
    <w:rsid w:val="00F25D68"/>
    <w:rsid w:val="00F26038"/>
    <w:rsid w:val="00F2634B"/>
    <w:rsid w:val="00F273A0"/>
    <w:rsid w:val="00F27BD3"/>
    <w:rsid w:val="00F27CFB"/>
    <w:rsid w:val="00F30E20"/>
    <w:rsid w:val="00F320AD"/>
    <w:rsid w:val="00F33789"/>
    <w:rsid w:val="00F41572"/>
    <w:rsid w:val="00F417E2"/>
    <w:rsid w:val="00F41E43"/>
    <w:rsid w:val="00F41EBA"/>
    <w:rsid w:val="00F43DD7"/>
    <w:rsid w:val="00F44317"/>
    <w:rsid w:val="00F46045"/>
    <w:rsid w:val="00F4740A"/>
    <w:rsid w:val="00F51080"/>
    <w:rsid w:val="00F52A2C"/>
    <w:rsid w:val="00F54530"/>
    <w:rsid w:val="00F56682"/>
    <w:rsid w:val="00F5697D"/>
    <w:rsid w:val="00F60DF6"/>
    <w:rsid w:val="00F63157"/>
    <w:rsid w:val="00F66581"/>
    <w:rsid w:val="00F66988"/>
    <w:rsid w:val="00F66B38"/>
    <w:rsid w:val="00F67F22"/>
    <w:rsid w:val="00F7067B"/>
    <w:rsid w:val="00F72E3F"/>
    <w:rsid w:val="00F7369A"/>
    <w:rsid w:val="00F758EA"/>
    <w:rsid w:val="00F76C0B"/>
    <w:rsid w:val="00F76C2B"/>
    <w:rsid w:val="00F806F9"/>
    <w:rsid w:val="00F80913"/>
    <w:rsid w:val="00F82380"/>
    <w:rsid w:val="00F83A49"/>
    <w:rsid w:val="00F8451E"/>
    <w:rsid w:val="00F856CB"/>
    <w:rsid w:val="00F86417"/>
    <w:rsid w:val="00F90071"/>
    <w:rsid w:val="00F90165"/>
    <w:rsid w:val="00F93076"/>
    <w:rsid w:val="00F9746B"/>
    <w:rsid w:val="00F977D8"/>
    <w:rsid w:val="00FA0194"/>
    <w:rsid w:val="00FA0FB6"/>
    <w:rsid w:val="00FA12F7"/>
    <w:rsid w:val="00FA15B4"/>
    <w:rsid w:val="00FA2F38"/>
    <w:rsid w:val="00FA6710"/>
    <w:rsid w:val="00FA6A33"/>
    <w:rsid w:val="00FA7834"/>
    <w:rsid w:val="00FA78F9"/>
    <w:rsid w:val="00FB2943"/>
    <w:rsid w:val="00FB2D6C"/>
    <w:rsid w:val="00FB5C22"/>
    <w:rsid w:val="00FB795C"/>
    <w:rsid w:val="00FC0BE8"/>
    <w:rsid w:val="00FC2C37"/>
    <w:rsid w:val="00FC2F85"/>
    <w:rsid w:val="00FC5EE6"/>
    <w:rsid w:val="00FC60D8"/>
    <w:rsid w:val="00FC78C4"/>
    <w:rsid w:val="00FC79C5"/>
    <w:rsid w:val="00FD081A"/>
    <w:rsid w:val="00FD2C87"/>
    <w:rsid w:val="00FD36C6"/>
    <w:rsid w:val="00FD3B02"/>
    <w:rsid w:val="00FD4FA0"/>
    <w:rsid w:val="00FD5DBC"/>
    <w:rsid w:val="00FD7800"/>
    <w:rsid w:val="00FD7E3C"/>
    <w:rsid w:val="00FE04B7"/>
    <w:rsid w:val="00FE0A81"/>
    <w:rsid w:val="00FE2973"/>
    <w:rsid w:val="00FE3C32"/>
    <w:rsid w:val="00FE3E90"/>
    <w:rsid w:val="00FE4084"/>
    <w:rsid w:val="00FE4792"/>
    <w:rsid w:val="00FE5D11"/>
    <w:rsid w:val="00FE6FF1"/>
    <w:rsid w:val="00FF0FEB"/>
    <w:rsid w:val="00FF4FD8"/>
    <w:rsid w:val="00FF5646"/>
    <w:rsid w:val="95FF8D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semiHidden/>
    <w:qFormat/>
    <w:uiPriority w:val="0"/>
    <w:pPr>
      <w:spacing w:line="540" w:lineRule="exact"/>
      <w:ind w:firstLine="607" w:firstLineChars="200"/>
    </w:pPr>
    <w:rPr>
      <w:rFonts w:ascii="方正仿宋简体" w:eastAsia="方正仿宋简体"/>
    </w:rPr>
  </w:style>
  <w:style w:type="paragraph" w:styleId="3">
    <w:name w:val="Plain Text"/>
    <w:basedOn w:val="1"/>
    <w:qFormat/>
    <w:uiPriority w:val="0"/>
    <w:rPr>
      <w:rFonts w:ascii="宋体" w:hAnsi="Courier New" w:cs="Courier New"/>
      <w:szCs w:val="21"/>
    </w:rPr>
  </w:style>
  <w:style w:type="paragraph" w:styleId="4">
    <w:name w:val="Date"/>
    <w:basedOn w:val="1"/>
    <w:next w:val="1"/>
    <w:link w:val="18"/>
    <w:qFormat/>
    <w:uiPriority w:val="0"/>
    <w:pPr>
      <w:ind w:left="100" w:leftChars="2500"/>
    </w:pPr>
  </w:style>
  <w:style w:type="paragraph" w:styleId="5">
    <w:name w:val="Balloon Text"/>
    <w:basedOn w:val="1"/>
    <w:link w:val="17"/>
    <w:qFormat/>
    <w:uiPriority w:val="0"/>
    <w:rPr>
      <w:sz w:val="18"/>
      <w:szCs w:val="18"/>
    </w:rPr>
  </w:style>
  <w:style w:type="paragraph" w:styleId="6">
    <w:name w:val="footer"/>
    <w:basedOn w:val="1"/>
    <w:link w:val="15"/>
    <w:qFormat/>
    <w:uiPriority w:val="0"/>
    <w:pPr>
      <w:tabs>
        <w:tab w:val="center" w:pos="4153"/>
        <w:tab w:val="right" w:pos="8306"/>
      </w:tabs>
      <w:snapToGrid w:val="0"/>
      <w:jc w:val="left"/>
    </w:pPr>
    <w:rPr>
      <w:sz w:val="18"/>
      <w:szCs w:val="18"/>
    </w:rPr>
  </w:style>
  <w:style w:type="paragraph" w:styleId="7">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11">
    <w:name w:val="Strong"/>
    <w:qFormat/>
    <w:uiPriority w:val="0"/>
    <w:rPr>
      <w:b/>
      <w:bCs/>
    </w:rPr>
  </w:style>
  <w:style w:type="character" w:styleId="12">
    <w:name w:val="page number"/>
    <w:basedOn w:val="10"/>
    <w:qFormat/>
    <w:uiPriority w:val="0"/>
  </w:style>
  <w:style w:type="paragraph" w:customStyle="1" w:styleId="13">
    <w:name w:val="Char2"/>
    <w:basedOn w:val="1"/>
    <w:qFormat/>
    <w:uiPriority w:val="0"/>
    <w:rPr>
      <w:rFonts w:ascii="Tahoma" w:hAnsi="Tahoma"/>
      <w:sz w:val="24"/>
      <w:szCs w:val="20"/>
    </w:rPr>
  </w:style>
  <w:style w:type="character" w:customStyle="1" w:styleId="14">
    <w:name w:val="页眉 Char"/>
    <w:link w:val="7"/>
    <w:qFormat/>
    <w:uiPriority w:val="0"/>
    <w:rPr>
      <w:kern w:val="2"/>
      <w:sz w:val="18"/>
      <w:szCs w:val="18"/>
    </w:rPr>
  </w:style>
  <w:style w:type="character" w:customStyle="1" w:styleId="15">
    <w:name w:val="页脚 Char"/>
    <w:link w:val="6"/>
    <w:qFormat/>
    <w:uiPriority w:val="0"/>
    <w:rPr>
      <w:kern w:val="2"/>
      <w:sz w:val="18"/>
      <w:szCs w:val="18"/>
    </w:rPr>
  </w:style>
  <w:style w:type="paragraph" w:styleId="16">
    <w:name w:val="List Paragraph"/>
    <w:basedOn w:val="1"/>
    <w:qFormat/>
    <w:uiPriority w:val="34"/>
    <w:pPr>
      <w:ind w:firstLine="420" w:firstLineChars="200"/>
    </w:pPr>
  </w:style>
  <w:style w:type="character" w:customStyle="1" w:styleId="17">
    <w:name w:val="批注框文本 Char"/>
    <w:basedOn w:val="10"/>
    <w:link w:val="5"/>
    <w:qFormat/>
    <w:uiPriority w:val="0"/>
    <w:rPr>
      <w:kern w:val="2"/>
      <w:sz w:val="18"/>
      <w:szCs w:val="18"/>
    </w:rPr>
  </w:style>
  <w:style w:type="character" w:customStyle="1" w:styleId="18">
    <w:name w:val="日期 Char"/>
    <w:basedOn w:val="10"/>
    <w:link w:val="4"/>
    <w:qFormat/>
    <w:uiPriority w:val="0"/>
    <w:rPr>
      <w:kern w:val="2"/>
      <w:sz w:val="32"/>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sxczj</Company>
  <Pages>11</Pages>
  <Words>981</Words>
  <Characters>5596</Characters>
  <Lines>46</Lines>
  <Paragraphs>13</Paragraphs>
  <TotalTime>50</TotalTime>
  <ScaleCrop>false</ScaleCrop>
  <LinksUpToDate>false</LinksUpToDate>
  <CharactersWithSpaces>6564</CharactersWithSpaces>
  <Application>WPS Office_11.8.2.10953_F1E327BC-269C-435d-A152-05C5408002CA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2024-07-28T15:29:00Z</dcterms:created>
  <dc:creator>User</dc:creator>
  <cp:lastModifiedBy>郑志伟</cp:lastModifiedBy>
  <cp:lastPrinted>2022-06-14T16:04:00Z</cp:lastPrinted>
  <dcterms:modified xsi:type="dcterms:W3CDTF">2025-07-28T15:35:53Z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2052-11.8.2.10953</vt:lpwstr>
  </property>
</Properties>
</file>