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94" w:type="dxa"/>
        <w:jc w:val="center"/>
        <w:tblLayout w:type="fixed"/>
        <w:tblCellMar>
          <w:top w:w="0" w:type="dxa"/>
          <w:left w:w="0" w:type="dxa"/>
          <w:bottom w:w="0" w:type="dxa"/>
          <w:right w:w="0" w:type="dxa"/>
        </w:tblCellMar>
      </w:tblPr>
      <w:tblGrid>
        <w:gridCol w:w="739"/>
        <w:gridCol w:w="470"/>
        <w:gridCol w:w="2991"/>
        <w:gridCol w:w="2560"/>
        <w:gridCol w:w="2134"/>
      </w:tblGrid>
      <w:tr>
        <w:trPr>
          <w:trHeight w:val="442" w:hRule="atLeast"/>
          <w:jc w:val="center"/>
        </w:trPr>
        <w:tc>
          <w:tcPr>
            <w:tcW w:w="8894"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简体" w:cs="Times New Roman"/>
                <w:b w:val="0"/>
                <w:bCs/>
                <w:color w:val="000000"/>
                <w:kern w:val="0"/>
                <w:sz w:val="32"/>
                <w:szCs w:val="32"/>
                <w:highlight w:val="none"/>
                <w:u w:val="none"/>
                <w:lang w:val="en-US" w:eastAsia="zh-CN" w:bidi="ar"/>
              </w:rPr>
            </w:pPr>
            <w:r>
              <w:rPr>
                <w:rFonts w:hint="default" w:ascii="Times New Roman" w:hAnsi="Times New Roman" w:eastAsia="方正黑体简体" w:cs="Times New Roman"/>
                <w:b w:val="0"/>
                <w:bCs/>
                <w:color w:val="000000"/>
                <w:kern w:val="0"/>
                <w:sz w:val="32"/>
                <w:szCs w:val="32"/>
                <w:highlight w:val="none"/>
                <w:u w:val="none"/>
                <w:lang w:val="en-US" w:eastAsia="zh-CN" w:bidi="ar"/>
              </w:rPr>
              <w:t>附件1</w:t>
            </w:r>
          </w:p>
          <w:p>
            <w:pPr>
              <w:keepNext w:val="0"/>
              <w:keepLines w:val="0"/>
              <w:widowControl/>
              <w:suppressLineNumbers w:val="0"/>
              <w:jc w:val="center"/>
              <w:textAlignment w:val="center"/>
              <w:rPr>
                <w:rFonts w:hint="default" w:ascii="Times New Roman" w:hAnsi="Times New Roman" w:eastAsia="宋体" w:cs="Times New Roman"/>
                <w:b/>
                <w:color w:val="000000"/>
                <w:sz w:val="36"/>
                <w:szCs w:val="36"/>
                <w:highlight w:val="none"/>
                <w:u w:val="none"/>
                <w:lang w:val="en-US" w:eastAsia="en-US" w:bidi="ar-SA"/>
              </w:rPr>
            </w:pPr>
            <w:r>
              <w:rPr>
                <w:rFonts w:hint="default" w:ascii="Times New Roman" w:hAnsi="Times New Roman" w:eastAsia="方正小标宋简体" w:cs="Times New Roman"/>
                <w:b w:val="0"/>
                <w:bCs/>
                <w:color w:val="000000"/>
                <w:kern w:val="0"/>
                <w:sz w:val="44"/>
                <w:szCs w:val="44"/>
                <w:highlight w:val="none"/>
                <w:u w:val="none"/>
                <w:lang w:val="en-US" w:eastAsia="zh-CN" w:bidi="ar"/>
              </w:rPr>
              <w:t>征收房屋二次装修项目补偿单价明细表</w:t>
            </w:r>
          </w:p>
        </w:tc>
      </w:tr>
      <w:tr>
        <w:trPr>
          <w:trHeight w:val="434" w:hRule="atLeast"/>
          <w:jc w:val="center"/>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简体" w:cs="Times New Roman"/>
                <w:color w:val="000000"/>
                <w:sz w:val="22"/>
                <w:szCs w:val="22"/>
                <w:highlight w:val="none"/>
                <w:u w:val="none"/>
                <w:lang w:bidi="ar-SA"/>
              </w:rPr>
            </w:pPr>
            <w:r>
              <w:rPr>
                <w:rFonts w:hint="default" w:ascii="Times New Roman" w:hAnsi="Times New Roman" w:eastAsia="方正黑体简体" w:cs="Times New Roman"/>
                <w:color w:val="000000"/>
                <w:kern w:val="0"/>
                <w:sz w:val="22"/>
                <w:szCs w:val="22"/>
                <w:highlight w:val="none"/>
                <w:u w:val="none"/>
                <w:lang w:val="en-US" w:eastAsia="zh-CN" w:bidi="ar"/>
              </w:rPr>
              <w:t>分部</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简体" w:cs="Times New Roman"/>
                <w:color w:val="000000"/>
                <w:sz w:val="22"/>
                <w:szCs w:val="22"/>
                <w:highlight w:val="none"/>
                <w:u w:val="none"/>
                <w:lang w:bidi="ar-SA"/>
              </w:rPr>
            </w:pPr>
            <w:r>
              <w:rPr>
                <w:rFonts w:hint="default" w:ascii="Times New Roman" w:hAnsi="Times New Roman" w:eastAsia="方正黑体简体" w:cs="Times New Roman"/>
                <w:color w:val="000000"/>
                <w:kern w:val="0"/>
                <w:sz w:val="22"/>
                <w:szCs w:val="22"/>
                <w:highlight w:val="none"/>
                <w:u w:val="none"/>
                <w:lang w:val="en-US" w:eastAsia="zh-CN" w:bidi="ar"/>
              </w:rPr>
              <w:t>序号</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简体" w:cs="Times New Roman"/>
                <w:color w:val="000000"/>
                <w:sz w:val="22"/>
                <w:szCs w:val="22"/>
                <w:highlight w:val="none"/>
                <w:u w:val="none"/>
                <w:lang w:bidi="ar-SA"/>
              </w:rPr>
            </w:pPr>
            <w:r>
              <w:rPr>
                <w:rFonts w:hint="default" w:ascii="Times New Roman" w:hAnsi="Times New Roman" w:eastAsia="方正黑体简体" w:cs="Times New Roman"/>
                <w:color w:val="000000"/>
                <w:kern w:val="0"/>
                <w:sz w:val="22"/>
                <w:szCs w:val="22"/>
                <w:highlight w:val="none"/>
                <w:u w:val="none"/>
                <w:lang w:val="en-US" w:eastAsia="zh-CN" w:bidi="ar"/>
              </w:rPr>
              <w:t>项   目</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简体" w:cs="Times New Roman"/>
                <w:color w:val="000000"/>
                <w:sz w:val="22"/>
                <w:szCs w:val="22"/>
                <w:highlight w:val="none"/>
                <w:u w:val="none"/>
                <w:lang w:bidi="ar-SA"/>
              </w:rPr>
            </w:pPr>
            <w:r>
              <w:rPr>
                <w:rFonts w:hint="default" w:ascii="Times New Roman" w:hAnsi="Times New Roman" w:eastAsia="方正黑体简体" w:cs="Times New Roman"/>
                <w:color w:val="000000"/>
                <w:kern w:val="0"/>
                <w:sz w:val="22"/>
                <w:szCs w:val="22"/>
                <w:highlight w:val="none"/>
                <w:u w:val="none"/>
                <w:lang w:val="en-US" w:eastAsia="zh-CN" w:bidi="ar"/>
              </w:rPr>
              <w:t>单  价</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简体" w:cs="Times New Roman"/>
                <w:color w:val="000000"/>
                <w:sz w:val="22"/>
                <w:szCs w:val="22"/>
                <w:highlight w:val="none"/>
                <w:u w:val="none"/>
                <w:lang w:bidi="ar-SA"/>
              </w:rPr>
            </w:pPr>
            <w:r>
              <w:rPr>
                <w:rFonts w:hint="default" w:ascii="Times New Roman" w:hAnsi="Times New Roman" w:eastAsia="方正黑体简体" w:cs="Times New Roman"/>
                <w:color w:val="000000"/>
                <w:kern w:val="0"/>
                <w:sz w:val="22"/>
                <w:szCs w:val="22"/>
                <w:highlight w:val="none"/>
                <w:u w:val="none"/>
                <w:lang w:val="en-US" w:eastAsia="zh-CN" w:bidi="ar"/>
              </w:rPr>
              <w:t>备  注</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highlight w:val="none"/>
                <w:u w:val="none"/>
                <w:lang w:val="en-US" w:eastAsia="zh-CN" w:bidi="ar"/>
              </w:rPr>
            </w:pPr>
            <w:r>
              <w:rPr>
                <w:rFonts w:hint="default" w:ascii="Times New Roman" w:hAnsi="Times New Roman" w:eastAsia="宋体" w:cs="Times New Roman"/>
                <w:color w:val="000000"/>
                <w:kern w:val="0"/>
                <w:sz w:val="22"/>
                <w:szCs w:val="22"/>
                <w:highlight w:val="none"/>
                <w:u w:val="none"/>
                <w:lang w:val="en-US" w:eastAsia="zh-CN" w:bidi="ar"/>
              </w:rPr>
              <w:t>外墙</w:t>
            </w:r>
          </w:p>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bookmarkStart w:id="0" w:name="_GoBack"/>
            <w:bookmarkEnd w:id="0"/>
            <w:r>
              <w:rPr>
                <w:rFonts w:hint="default" w:ascii="Times New Roman" w:hAnsi="Times New Roman" w:eastAsia="宋体" w:cs="Times New Roman"/>
                <w:color w:val="000000"/>
                <w:kern w:val="0"/>
                <w:sz w:val="22"/>
                <w:szCs w:val="22"/>
                <w:highlight w:val="none"/>
                <w:u w:val="none"/>
                <w:lang w:val="en-US" w:eastAsia="zh-CN" w:bidi="ar"/>
              </w:rPr>
              <w:t>装饰</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外墙花岗岩、瓷砖等</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90元/㎡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外墙面丙烯酸彩色喷涂（抹灰面）</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楼地面装饰</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防滑地砖</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碎大理石、碎花岗岩</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户外参照</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普通瓷砖、缸砖</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楼梯踏步参照</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彩色水磨石</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70元/㎡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7</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玻化砖</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160元/㎡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花岗岩、贴面（含楼梯踏步）</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160元/㎡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石材装饰墙参照</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普通实木地板（铺在木楞上）</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120元/㎡</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杉木、杂木、小拼木、金钢板等</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实木烤漆地板（铺在木楞上）</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楼梯踏步参照</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highlight w:val="none"/>
                <w:u w:val="none"/>
                <w:lang w:val="en-US" w:eastAsia="zh-CN" w:bidi="ar"/>
              </w:rPr>
            </w:pPr>
            <w:r>
              <w:rPr>
                <w:rFonts w:hint="default" w:ascii="Times New Roman" w:hAnsi="Times New Roman" w:eastAsia="宋体" w:cs="Times New Roman"/>
                <w:color w:val="000000"/>
                <w:kern w:val="0"/>
                <w:sz w:val="22"/>
                <w:szCs w:val="22"/>
                <w:highlight w:val="none"/>
                <w:u w:val="none"/>
                <w:lang w:val="en-US" w:eastAsia="zh-CN" w:bidi="ar"/>
              </w:rPr>
              <w:t>天棚</w:t>
            </w:r>
          </w:p>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吊顶</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石膏线条</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15元/m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宝丽板吊顶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木质薄板、条吊顶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空腹PVC塑扣板吊顶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硅钙板吊顶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highlight w:val="none"/>
                <w:u w:val="none"/>
                <w:lang w:val="en-US" w:eastAsia="zh-CN" w:bidi="ar"/>
              </w:rPr>
            </w:pPr>
            <w:r>
              <w:rPr>
                <w:rFonts w:hint="default" w:ascii="Times New Roman" w:hAnsi="Times New Roman" w:eastAsia="宋体" w:cs="Times New Roman"/>
                <w:color w:val="000000"/>
                <w:kern w:val="0"/>
                <w:sz w:val="22"/>
                <w:szCs w:val="22"/>
                <w:highlight w:val="none"/>
                <w:u w:val="none"/>
                <w:lang w:val="en-US" w:eastAsia="zh-CN" w:bidi="ar"/>
              </w:rPr>
              <w:t>墙面</w:t>
            </w:r>
          </w:p>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装饰</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装饰木墙面、墙裙、隔墙</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17</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水泥漆</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喷塑</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油漆地面参照</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30"/>
                <w:szCs w:val="30"/>
                <w:highlight w:val="none"/>
                <w:u w:val="none"/>
                <w:lang w:bidi="ar-SA"/>
              </w:rPr>
            </w:pPr>
            <w:r>
              <w:rPr>
                <w:rFonts w:hint="default" w:ascii="Times New Roman" w:hAnsi="Times New Roman" w:eastAsia="宋体" w:cs="Times New Roman"/>
                <w:color w:val="000000"/>
                <w:sz w:val="22"/>
                <w:szCs w:val="22"/>
                <w:highlight w:val="none"/>
                <w:u w:val="none"/>
                <w:lang w:val="en-US" w:eastAsia="zh-CN" w:bidi="ar-SA"/>
              </w:rPr>
              <w:t>门窗</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铝合金、不锈钢门窗（与木窗等补差）</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塑钢推拉、平开门窗</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铁窗栅</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铁件防盗窗、门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不锈钢防盗窗、门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铝合金防盗网</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25</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铝合金纱门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80元/扇</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铝合金纱窗</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80元/整扇</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27</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木质纱门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100元/扇</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木质纱窗</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200元/整扇</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包门、包窗套</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200元/扇</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大门按3个计补</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w:t>
            </w:r>
          </w:p>
        </w:tc>
        <w:tc>
          <w:tcPr>
            <w:tcW w:w="29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成品防盗门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单层防盗门400元/㎡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不锈钢大门参照此标准</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cs="Times New Roman"/>
              </w:rPr>
            </w:pPr>
          </w:p>
        </w:tc>
        <w:tc>
          <w:tcPr>
            <w:tcW w:w="29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双层烤漆防盗门500元/㎡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高档原木门（与普通原木补差）</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400元/㎡</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采用进口高档原木、名贵原木制作</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卷闸门、卷帘门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120元/㎡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铁拉网门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不锈钢网门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扶手、护栏</w:t>
            </w:r>
          </w:p>
        </w:tc>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35</w:t>
            </w:r>
          </w:p>
        </w:tc>
        <w:tc>
          <w:tcPr>
            <w:tcW w:w="29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楼梯扶手、护栏</w:t>
            </w:r>
          </w:p>
        </w:tc>
        <w:tc>
          <w:tcPr>
            <w:tcW w:w="2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木质300元/m（高档木） 150元/m（普通木）</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cs="Times New Roman"/>
              </w:rPr>
            </w:pPr>
          </w:p>
        </w:tc>
        <w:tc>
          <w:tcPr>
            <w:tcW w:w="29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不锈钢150元/m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顶层围护栏参照此标准</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cs="Times New Roman"/>
              </w:rPr>
            </w:pPr>
          </w:p>
        </w:tc>
        <w:tc>
          <w:tcPr>
            <w:tcW w:w="29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钢管120元/m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顶层围护栏参照此标准</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橱柜</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固定橱衣柜</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37</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吊柜</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固定鞋柜</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center" w:pos="1265"/>
              </w:tabs>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300～500元/个</w:t>
            </w:r>
            <w:r>
              <w:rPr>
                <w:rFonts w:hint="default" w:ascii="Times New Roman" w:hAnsi="Times New Roman" w:cs="Times New Roman"/>
                <w:color w:val="000000"/>
                <w:kern w:val="0"/>
                <w:sz w:val="22"/>
                <w:szCs w:val="22"/>
                <w:highlight w:val="none"/>
                <w:u w:val="none"/>
                <w:lang w:val="en-US" w:eastAsia="zh-CN" w:bidi="ar"/>
              </w:rPr>
              <w:tab/>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固定木质等电器低柜等参照</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灶台、洗涤池</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普通家用煤、柴灶</w:t>
            </w:r>
          </w:p>
        </w:tc>
        <w:tc>
          <w:tcPr>
            <w:tcW w:w="2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500元单口         1000元/双口</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40</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台板灶橱</w:t>
            </w:r>
          </w:p>
        </w:tc>
        <w:tc>
          <w:tcPr>
            <w:tcW w:w="2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石材等贴面（带门）320～420元/ 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无贴面或无门每米减80元</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成品组合灶橱柜</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120元/m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搬迁拆除费</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不锈钢洗碗槽</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80元/单口、160元/双口</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普通洗碗槽、洗衣槽、水池</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150元/个</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瓷砖、石料等贴面参照同类价另计补</w:t>
            </w: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卫生洁具等</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浴缸（含配件）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1000元/个</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45</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洗脸台、架（含配件）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200元/台、架</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固定墙面镜</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47</w:t>
            </w:r>
          </w:p>
        </w:tc>
        <w:tc>
          <w:tcPr>
            <w:tcW w:w="29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便器（含配件）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抽水马桶500元/个</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cs="Times New Roman"/>
              </w:rPr>
            </w:pPr>
          </w:p>
        </w:tc>
        <w:tc>
          <w:tcPr>
            <w:tcW w:w="29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蹲式便器100元/个</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钢混、砖混结构屋顶面设施</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砖砌水塔、不锈钢水箱（含配件）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300元/m</w:t>
            </w:r>
            <w:r>
              <w:rPr>
                <w:rFonts w:hint="default" w:ascii="Times New Roman" w:hAnsi="Times New Roman" w:eastAsia="宋体" w:cs="Times New Roman"/>
                <w:color w:val="000000"/>
                <w:kern w:val="0"/>
                <w:sz w:val="22"/>
                <w:szCs w:val="22"/>
                <w:highlight w:val="none"/>
                <w:u w:val="none"/>
                <w:vertAlign w:val="superscript"/>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砖砌栏杆（混凝土压顶）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100元/m</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瓦屋面砖木结构隔热棚屋</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110元/㎡</w:t>
            </w:r>
          </w:p>
        </w:tc>
        <w:tc>
          <w:tcPr>
            <w:tcW w:w="2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棚屋内原贴面铺设瓷、缸砖的按50元/㎡计补，规格花岗岩按80元/㎡计补</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彩钢、塑板隔热棚屋</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同上</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水泥砖预制块架空隔热层</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50元/㎡</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其它</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53</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有线电视</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380元/户</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54</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电话</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50元/部</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按开户号码计算</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55</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宽带</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108元/户</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56</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水表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790元/表</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57</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电表</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400元/表</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58</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灯具拆除补助费</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10元/盏</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白炽灯除外</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59</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开关、插座、水龙头等</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10元/个</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可自行拆除</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60</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太阳能热水器迁移费（含配件）</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1000元/组</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可自行拆除</w:t>
            </w: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61</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燃料、电热水器迁移费</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100元/台</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62</w:t>
            </w:r>
          </w:p>
        </w:tc>
        <w:tc>
          <w:tcPr>
            <w:tcW w:w="2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空调移机、安装费</w:t>
            </w:r>
          </w:p>
        </w:tc>
        <w:tc>
          <w:tcPr>
            <w:tcW w:w="2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200元/台、架</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color w:val="000000"/>
                <w:sz w:val="22"/>
                <w:szCs w:val="22"/>
                <w:highlight w:val="none"/>
                <w:u w:val="none"/>
                <w:lang w:bidi="ar-SA"/>
              </w:rPr>
            </w:pPr>
          </w:p>
        </w:tc>
      </w:tr>
      <w:tr>
        <w:trPr>
          <w:trHeight w:val="442" w:hRule="atLeast"/>
          <w:jc w:val="center"/>
        </w:trPr>
        <w:tc>
          <w:tcPr>
            <w:tcW w:w="88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2"/>
                <w:szCs w:val="22"/>
                <w:highlight w:val="none"/>
                <w:u w:val="none"/>
                <w:lang w:bidi="ar-SA"/>
              </w:rPr>
            </w:pPr>
            <w:r>
              <w:rPr>
                <w:rFonts w:hint="default" w:ascii="Times New Roman" w:hAnsi="Times New Roman" w:eastAsia="宋体" w:cs="Times New Roman"/>
                <w:color w:val="000000"/>
                <w:kern w:val="0"/>
                <w:sz w:val="22"/>
                <w:szCs w:val="22"/>
                <w:highlight w:val="none"/>
                <w:u w:val="none"/>
                <w:lang w:val="en-US" w:eastAsia="zh-CN" w:bidi="ar"/>
              </w:rPr>
              <w:t>未详的项目，高级、特殊设施参照福建省现行建安工程预算定额或由当事人双方另行协商作价补偿。</w:t>
            </w:r>
          </w:p>
        </w:tc>
      </w:tr>
    </w:tbl>
    <w:p/>
    <w:sectPr>
      <w:footerReference r:id="rId3" w:type="default"/>
      <w:pgSz w:w="11906" w:h="16838"/>
      <w:pgMar w:top="1701" w:right="1531" w:bottom="1701" w:left="1531" w:header="851" w:footer="1417" w:gutter="0"/>
      <w:pgNumType w:start="1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01C62"/>
    <w:rsid w:val="03F226FA"/>
    <w:rsid w:val="07C70FC4"/>
    <w:rsid w:val="07CD241A"/>
    <w:rsid w:val="08257140"/>
    <w:rsid w:val="0B85326D"/>
    <w:rsid w:val="13EB5AEE"/>
    <w:rsid w:val="14BC630F"/>
    <w:rsid w:val="15807584"/>
    <w:rsid w:val="16401A29"/>
    <w:rsid w:val="18011162"/>
    <w:rsid w:val="1A8A150B"/>
    <w:rsid w:val="23E703E5"/>
    <w:rsid w:val="24DA2BAC"/>
    <w:rsid w:val="2A301C62"/>
    <w:rsid w:val="2F716409"/>
    <w:rsid w:val="2FF608E7"/>
    <w:rsid w:val="30010BD5"/>
    <w:rsid w:val="384F0A90"/>
    <w:rsid w:val="39826C49"/>
    <w:rsid w:val="3F082EF1"/>
    <w:rsid w:val="42906784"/>
    <w:rsid w:val="43C6289B"/>
    <w:rsid w:val="46145115"/>
    <w:rsid w:val="482C41C9"/>
    <w:rsid w:val="4D7FE2F7"/>
    <w:rsid w:val="505C1BB1"/>
    <w:rsid w:val="50844C98"/>
    <w:rsid w:val="5FD61BE7"/>
    <w:rsid w:val="624C5456"/>
    <w:rsid w:val="685304CC"/>
    <w:rsid w:val="719B2177"/>
    <w:rsid w:val="7706278C"/>
    <w:rsid w:val="7DBF49A4"/>
    <w:rsid w:val="7E2E6EC5"/>
    <w:rsid w:val="7EFF62CB"/>
    <w:rsid w:val="7F9A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ascii="宋体" w:eastAsia="宋体" w:cs="宋体"/>
      <w:color w:val="000000"/>
      <w:sz w:val="22"/>
      <w:szCs w:val="22"/>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2021-06-04T23:28:00Z</dcterms:created>
  <dc:creator>吴起海</dc:creator>
  <cp:lastModifiedBy>文印</cp:lastModifiedBy>
  <cp:lastPrinted>2021-06-10T00:24:00Z</cp:lastPrinted>
  <dcterms:modified xsi:type="dcterms:W3CDTF">2021-06-10T10:01:35Z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