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EC" w:rsidRPr="00F563C0" w:rsidRDefault="00917BEC" w:rsidP="004B6538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600" w:lineRule="exact"/>
        <w:jc w:val="center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F563C0"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沙工科</w:t>
      </w:r>
      <w:r w:rsidRPr="00F563C0">
        <w:rPr>
          <w:rFonts w:ascii="Times New Roman" w:eastAsia="仿宋_GB2312" w:hAnsi="Times New Roman" w:cs="仿宋_GB2312" w:hint="eastAsia"/>
          <w:sz w:val="32"/>
          <w:szCs w:val="32"/>
        </w:rPr>
        <w:t>〔</w:t>
      </w:r>
      <w:r w:rsidRPr="00F563C0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563C0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 w:rsidRPr="00F563C0"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号</w:t>
      </w:r>
    </w:p>
    <w:p w:rsidR="00917BEC" w:rsidRPr="00F563C0" w:rsidRDefault="00917BEC" w:rsidP="004B653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Pr="00F563C0" w:rsidRDefault="00917BEC" w:rsidP="004B653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7BEC" w:rsidRDefault="00917BEC" w:rsidP="004B653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三明市沙县区工信与科技局</w:t>
      </w:r>
    </w:p>
    <w:p w:rsidR="00917BEC" w:rsidRDefault="00917BEC" w:rsidP="004B653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关于印发《三明市沙县区推动工业领域设备</w:t>
      </w:r>
    </w:p>
    <w:p w:rsidR="00917BEC" w:rsidRDefault="00917BEC" w:rsidP="004B653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更新工作实施方案》的通知</w:t>
      </w:r>
    </w:p>
    <w:p w:rsidR="00917BEC" w:rsidRPr="004B6538" w:rsidRDefault="00917BEC" w:rsidP="004B6538">
      <w:pPr>
        <w:pStyle w:val="NormalWeb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917BEC" w:rsidRDefault="00917BEC" w:rsidP="004B6538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仿宋" w:hint="eastAsia"/>
          <w:kern w:val="2"/>
          <w:sz w:val="32"/>
          <w:szCs w:val="32"/>
        </w:rPr>
        <w:t>各乡（镇、街道），三明高新区管委会经发局：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现将《沙县区推动工业领域设备更新工作实施方案》印发给你们，请认真贯彻执行。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17BEC" w:rsidRDefault="00917BEC">
      <w:pPr>
        <w:ind w:firstLineChars="1300" w:firstLine="41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三明市沙县区工信与科技局</w:t>
      </w:r>
    </w:p>
    <w:p w:rsidR="00917BEC" w:rsidRDefault="00917BEC">
      <w:pPr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2024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31</w:t>
      </w:r>
      <w:r>
        <w:rPr>
          <w:rFonts w:ascii="Times New Roman" w:eastAsia="仿宋" w:hAnsi="Times New Roman" w:cs="仿宋" w:hint="eastAsia"/>
          <w:sz w:val="32"/>
          <w:szCs w:val="32"/>
        </w:rPr>
        <w:t>日</w:t>
      </w:r>
    </w:p>
    <w:p w:rsidR="00917BEC" w:rsidRDefault="00917BEC" w:rsidP="004B653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三明市沙县区推动工业领域设备更新</w:t>
      </w:r>
    </w:p>
    <w:p w:rsidR="00917BEC" w:rsidRDefault="00917BEC" w:rsidP="004B653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工作实施方案</w:t>
      </w:r>
    </w:p>
    <w:p w:rsidR="00917BEC" w:rsidRDefault="00917BEC">
      <w:pPr>
        <w:spacing w:line="56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917BEC" w:rsidRDefault="00917BEC" w:rsidP="004B6538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推动大规模设备更新和消费品以旧换新，是党中央、国务院着眼于高质量发展大局作出的重大部署。为贯彻落实国家、省、市的推动大规模设备更新政策，结合我区实际，制定本方案。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一、总体要求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坚持以习近平新时代中国特色社会主义思想为指导，全面贯彻党的二十大精神，深化拓展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仿宋" w:hint="eastAsia"/>
          <w:sz w:val="32"/>
          <w:szCs w:val="32"/>
        </w:rPr>
        <w:t>三争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行动，推动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仿宋" w:hint="eastAsia"/>
          <w:sz w:val="32"/>
          <w:szCs w:val="32"/>
        </w:rPr>
        <w:t>四领一促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工作，将技术改造作为坚持制造业当家，提升制造业质量效益水平的重要抓手，以扩大生产能力、提高产品合格率、降低生产成本、提升生产效率为主要目的，以节能降碳、超低排放、本质安全、数字化转型、智能化升级、绿色化发展为重要方向，围绕推进新型工业化，聚焦装备制造、小吃食品、竹产业等县域重点产业向更高层级、更高质量发展，提升重点行业新质生产力，推动制造业高质量发展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力争到</w:t>
      </w:r>
      <w:r>
        <w:rPr>
          <w:rFonts w:ascii="Times New Roman" w:eastAsia="仿宋" w:hAnsi="Times New Roman" w:cs="Times New Roman"/>
          <w:sz w:val="32"/>
          <w:szCs w:val="32"/>
        </w:rPr>
        <w:t>2027</w:t>
      </w:r>
      <w:r>
        <w:rPr>
          <w:rFonts w:ascii="Times New Roman" w:eastAsia="仿宋" w:hAnsi="Times New Roman" w:cs="仿宋" w:hint="eastAsia"/>
          <w:sz w:val="32"/>
          <w:szCs w:val="32"/>
        </w:rPr>
        <w:t>年，全区工业领域设备投资规模较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仿宋" w:hint="eastAsia"/>
          <w:sz w:val="32"/>
          <w:szCs w:val="32"/>
        </w:rPr>
        <w:t>年增长</w:t>
      </w:r>
      <w:r>
        <w:rPr>
          <w:rFonts w:ascii="Times New Roman" w:eastAsia="仿宋" w:hAnsi="Times New Roman" w:cs="Times New Roman"/>
          <w:sz w:val="32"/>
          <w:szCs w:val="32"/>
        </w:rPr>
        <w:t>25%</w:t>
      </w:r>
      <w:r>
        <w:rPr>
          <w:rFonts w:ascii="Times New Roman" w:eastAsia="仿宋" w:hAnsi="Times New Roman" w:cs="仿宋" w:hint="eastAsia"/>
          <w:sz w:val="32"/>
          <w:szCs w:val="32"/>
        </w:rPr>
        <w:t>以上；重点行业主要用能设备能效基本达到节能水平，规上工业企业数字化研发设计工具普及率超过</w:t>
      </w:r>
      <w:r>
        <w:rPr>
          <w:rFonts w:ascii="Times New Roman" w:eastAsia="仿宋" w:hAnsi="Times New Roman" w:cs="Times New Roman"/>
          <w:sz w:val="32"/>
          <w:szCs w:val="32"/>
        </w:rPr>
        <w:t>90%,</w:t>
      </w:r>
      <w:r>
        <w:rPr>
          <w:rFonts w:ascii="Times New Roman" w:eastAsia="仿宋" w:hAnsi="Times New Roman" w:cs="仿宋" w:hint="eastAsia"/>
          <w:sz w:val="32"/>
          <w:szCs w:val="32"/>
        </w:rPr>
        <w:t>关鍵工序数控化率超</w:t>
      </w:r>
      <w:r>
        <w:rPr>
          <w:rFonts w:ascii="Times New Roman" w:eastAsia="仿宋" w:hAnsi="Times New Roman" w:cs="Times New Roman"/>
          <w:sz w:val="32"/>
          <w:szCs w:val="32"/>
        </w:rPr>
        <w:t>75%</w:t>
      </w:r>
      <w:r>
        <w:rPr>
          <w:rFonts w:ascii="Times New Roman" w:eastAsia="仿宋" w:hAnsi="Times New Roman" w:cs="仿宋" w:hint="eastAsia"/>
          <w:sz w:val="32"/>
          <w:szCs w:val="32"/>
        </w:rPr>
        <w:t>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二、主要任务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围绕扩大生产能力、提高产品合格率、降低生产成本、提升生产效率等目标，实施设备更新和技术改造扩能增量、提质增品、降本增利、提效增值，全力提升技改数字化转型的质量</w:t>
      </w:r>
      <w:bookmarkStart w:id="0" w:name="_GoBack"/>
      <w:bookmarkEnd w:id="0"/>
      <w:r>
        <w:rPr>
          <w:rFonts w:ascii="Times New Roman" w:eastAsia="仿宋" w:hAnsi="Times New Roman" w:cs="仿宋" w:hint="eastAsia"/>
          <w:sz w:val="32"/>
          <w:szCs w:val="32"/>
        </w:rPr>
        <w:t>和效益。</w:t>
      </w:r>
    </w:p>
    <w:p w:rsidR="00917BEC" w:rsidRPr="004B6538" w:rsidRDefault="00917BEC" w:rsidP="004B6538">
      <w:pPr>
        <w:spacing w:line="600" w:lineRule="exact"/>
        <w:ind w:firstLineChars="200" w:firstLine="640"/>
        <w:rPr>
          <w:rFonts w:ascii="方正楷体简体" w:eastAsia="方正楷体简体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㈠实施设备更新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装备制造产业以中化橡塑、厦工三重、开诚机械等重点企业为主导，依托机科院海西分院技术力量，大力开发工业母机及适应企业需求的高端装备，推动生产方式向柔性、智能、精细转变。小吃食品产业聚焦培优做强沙县小吃品牌，支持醉有才、厨神、淳之味等重点企业引进智能化装备，实施智能化改造和数字化转型项目，加快食品生产全流程数字化、智能化改造。竹产业将重点引导竹木加工企业更新替换一批先进设备，加大智能林业设备生产应用，以及支持青山纸业对造纸机械、制浆设备等进行节能降耗改造。</w:t>
      </w:r>
    </w:p>
    <w:p w:rsidR="00917BEC" w:rsidRPr="004B6538" w:rsidRDefault="00917BEC" w:rsidP="004B6538">
      <w:pPr>
        <w:spacing w:line="600" w:lineRule="exact"/>
        <w:ind w:firstLineChars="200" w:firstLine="640"/>
        <w:rPr>
          <w:rFonts w:ascii="方正楷体简体" w:eastAsia="方正楷体简体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㈡实施智造提升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推广应用智能制造装备和软件，以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仿宋" w:hint="eastAsia"/>
          <w:sz w:val="32"/>
          <w:szCs w:val="32"/>
        </w:rPr>
        <w:t>机器换人、数据换脑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推动制造业全流程智能化，加快发展信息化应用，加快</w:t>
      </w:r>
      <w:r>
        <w:rPr>
          <w:rFonts w:ascii="Times New Roman" w:eastAsia="仿宋" w:hAnsi="Times New Roman" w:cs="Times New Roman"/>
          <w:sz w:val="32"/>
          <w:szCs w:val="32"/>
        </w:rPr>
        <w:t>“5G+</w:t>
      </w:r>
      <w:r>
        <w:rPr>
          <w:rFonts w:ascii="Times New Roman" w:eastAsia="仿宋" w:hAnsi="Times New Roman" w:cs="仿宋" w:hint="eastAsia"/>
          <w:sz w:val="32"/>
          <w:szCs w:val="32"/>
        </w:rPr>
        <w:t>工业互联网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新技术新场景新模式向工业生产各领域各环节深度拓展。聚焦智能制造、柔性生产、质量管控、智慧仓储、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sz w:val="32"/>
          <w:szCs w:val="32"/>
        </w:rPr>
        <w:t>工业数采等应用场景，努力培育企业新一代信息技术与制造业融合发展企业和</w:t>
      </w:r>
      <w:r>
        <w:rPr>
          <w:rFonts w:ascii="Times New Roman" w:eastAsia="仿宋" w:hAnsi="Times New Roman" w:cs="Times New Roman"/>
          <w:sz w:val="32"/>
          <w:szCs w:val="32"/>
        </w:rPr>
        <w:t>5G</w:t>
      </w:r>
      <w:r>
        <w:rPr>
          <w:rFonts w:ascii="Times New Roman" w:eastAsia="仿宋" w:hAnsi="Times New Roman" w:cs="仿宋" w:hint="eastAsia"/>
          <w:sz w:val="32"/>
          <w:szCs w:val="32"/>
        </w:rPr>
        <w:t>全连接工厂。</w:t>
      </w:r>
    </w:p>
    <w:p w:rsidR="00917BEC" w:rsidRPr="004B6538" w:rsidRDefault="00917BEC" w:rsidP="004B6538">
      <w:pPr>
        <w:spacing w:line="600" w:lineRule="exact"/>
        <w:ind w:firstLineChars="200" w:firstLine="640"/>
        <w:rPr>
          <w:rFonts w:ascii="方正楷体简体" w:eastAsia="方正楷体简体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㈢实施绿色转型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加快绿色低碳技术、装备和产品推广应用，支持企业实施低效设备更新改造、工艺升级、能效水平提升等节能改造项目。对照《重点用能产品设备能效先进水平、节能水平和准入水平</w:t>
      </w:r>
      <w:r>
        <w:rPr>
          <w:rFonts w:ascii="Times New Roman" w:eastAsia="仿宋" w:hAnsi="Times New Roman" w:cs="Times New Roman"/>
          <w:sz w:val="32"/>
          <w:szCs w:val="32"/>
        </w:rPr>
        <w:t>(2024</w:t>
      </w:r>
      <w:r>
        <w:rPr>
          <w:rFonts w:ascii="Times New Roman" w:eastAsia="仿宋" w:hAnsi="Times New Roman" w:cs="仿宋" w:hint="eastAsia"/>
          <w:sz w:val="32"/>
          <w:szCs w:val="32"/>
        </w:rPr>
        <w:t>年版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仿宋" w:hint="eastAsia"/>
          <w:sz w:val="32"/>
          <w:szCs w:val="32"/>
        </w:rPr>
        <w:t>》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仿宋" w:hint="eastAsia"/>
          <w:sz w:val="32"/>
          <w:szCs w:val="32"/>
        </w:rPr>
        <w:t>推动工业和信息化各领域锅炉、电机、变压器、制冷供热空压机、换热器、泵等重点用能设备更新换代，引导企业应用能效达到先进水平和节能水平的用能设备。严格落实能耗强制性标准，依法依规淘汰能耗不达标设备。重点推动装备制造企业加大环保设施投入，加快烟尘治理、污水净化、废砂废渣利用等装备提升。强化资源综合利用和协同处置固废资源，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sz w:val="32"/>
          <w:szCs w:val="32"/>
        </w:rPr>
        <w:t>促进全产业链清洁生产、节能改造，推进新型绿色建材产品认证，促进建材产业绿色转型。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17BEC" w:rsidRPr="004B6538" w:rsidRDefault="00917BEC" w:rsidP="004B6538">
      <w:pPr>
        <w:spacing w:line="600" w:lineRule="exact"/>
        <w:ind w:firstLineChars="200" w:firstLine="640"/>
        <w:rPr>
          <w:rFonts w:ascii="方正楷体简体" w:eastAsia="方正楷体简体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㈣实施优质培育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积极开展制造业单项冠军培育工作，做好单项冠军企业政策宣传，积极组织开展国家及省级制造业单项冠军推荐工作，积极争取国家及省级制造业单项冠军政策资金支持；组织开展创新型中小企业评价、省级专精特新中小企业认定和专精特新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仿宋" w:hint="eastAsia"/>
          <w:sz w:val="32"/>
          <w:szCs w:val="32"/>
        </w:rPr>
        <w:t>小巨人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企业认定推荐工作；支持企业开展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仿宋" w:hint="eastAsia"/>
          <w:sz w:val="32"/>
          <w:szCs w:val="32"/>
        </w:rPr>
        <w:t>手拉手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仿宋" w:hint="eastAsia"/>
          <w:sz w:val="32"/>
          <w:szCs w:val="32"/>
        </w:rPr>
        <w:t>对接活动作用，根据行业发展及市场需求，分行业领域开展产业链上下游供需对接活动。</w:t>
      </w:r>
    </w:p>
    <w:p w:rsidR="00917BEC" w:rsidRPr="004B6538" w:rsidRDefault="00917BEC" w:rsidP="004B6538">
      <w:pPr>
        <w:spacing w:line="600" w:lineRule="exact"/>
        <w:ind w:firstLineChars="200" w:firstLine="640"/>
        <w:rPr>
          <w:rFonts w:ascii="方正楷体简体" w:eastAsia="方正楷体简体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㈤实施科技创新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依托企业技术中心在企业技术管理的核心地位，支持企业自建实验室，加快研发、试验和检测设备更新。根据企业的生产工艺和产品特点进行定制或选型，更新显微镜、色谱仪、质谱仪、化学成分分析仪等实验基础设备，完善外观检测设备</w:t>
      </w: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仿宋" w:hint="eastAsia"/>
          <w:sz w:val="32"/>
          <w:szCs w:val="32"/>
        </w:rPr>
        <w:t>机器视觉系统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仿宋" w:hint="eastAsia"/>
          <w:sz w:val="32"/>
          <w:szCs w:val="32"/>
        </w:rPr>
        <w:t>、强度测试机、耐久性测试机、环境模拟测试设备等检测设备，增设</w:t>
      </w:r>
      <w:r>
        <w:rPr>
          <w:rFonts w:ascii="Times New Roman" w:eastAsia="仿宋" w:hAnsi="Times New Roman" w:cs="Times New Roman"/>
          <w:sz w:val="32"/>
          <w:szCs w:val="32"/>
        </w:rPr>
        <w:t>3D</w:t>
      </w:r>
      <w:r>
        <w:rPr>
          <w:rFonts w:ascii="Times New Roman" w:eastAsia="仿宋" w:hAnsi="Times New Roman" w:cs="仿宋" w:hint="eastAsia"/>
          <w:sz w:val="32"/>
          <w:szCs w:val="32"/>
        </w:rPr>
        <w:t>打印机、数控机床、激光切割机、中试设备等开发设备。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三、保障措施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㈠加强组织领导。</w:t>
      </w:r>
      <w:r>
        <w:rPr>
          <w:rFonts w:ascii="Times New Roman" w:eastAsia="仿宋" w:hAnsi="Times New Roman" w:cs="仿宋" w:hint="eastAsia"/>
          <w:sz w:val="32"/>
          <w:szCs w:val="32"/>
        </w:rPr>
        <w:t>各有关单位要强化服务指导，着力抓实抓好工业领域设备更新工作，确保政策对接到位、组织力量到位、协调问题到位为企业开展设备更新等技术改造工作提供有力支持。请各单位将辖区内工业企业的设备更新改造项目摸底情况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仿宋" w:hint="eastAsia"/>
          <w:sz w:val="32"/>
          <w:szCs w:val="32"/>
        </w:rPr>
        <w:t>于每月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仿宋" w:hint="eastAsia"/>
          <w:sz w:val="32"/>
          <w:szCs w:val="32"/>
        </w:rPr>
        <w:t>日前通过</w:t>
      </w:r>
      <w:r>
        <w:rPr>
          <w:rFonts w:ascii="Times New Roman" w:eastAsia="仿宋" w:hAnsi="Times New Roman" w:cs="Times New Roman"/>
          <w:sz w:val="32"/>
          <w:szCs w:val="32"/>
        </w:rPr>
        <w:t>OA</w:t>
      </w:r>
      <w:r>
        <w:rPr>
          <w:rFonts w:ascii="Times New Roman" w:eastAsia="仿宋" w:hAnsi="Times New Roman" w:cs="仿宋" w:hint="eastAsia"/>
          <w:sz w:val="32"/>
          <w:szCs w:val="32"/>
        </w:rPr>
        <w:t>报送区工信科技局汇总，联系人：王智云，联系电话：</w:t>
      </w:r>
      <w:r>
        <w:rPr>
          <w:rFonts w:ascii="Times New Roman" w:eastAsia="仿宋" w:hAnsi="Times New Roman" w:cs="Times New Roman"/>
          <w:sz w:val="32"/>
          <w:szCs w:val="32"/>
        </w:rPr>
        <w:t>0598-5843908</w:t>
      </w:r>
      <w:r>
        <w:rPr>
          <w:rFonts w:ascii="Times New Roman" w:eastAsia="仿宋" w:hAnsi="Times New Roman" w:cs="仿宋" w:hint="eastAsia"/>
          <w:sz w:val="32"/>
          <w:szCs w:val="32"/>
        </w:rPr>
        <w:t>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㈡加强政策支持。</w:t>
      </w:r>
      <w:r>
        <w:rPr>
          <w:rFonts w:ascii="Times New Roman" w:eastAsia="仿宋" w:hAnsi="Times New Roman" w:cs="仿宋" w:hint="eastAsia"/>
          <w:sz w:val="32"/>
          <w:szCs w:val="32"/>
        </w:rPr>
        <w:t>认真研究上级政策导向，立足我区工业设备更新改造发展方向和重点，积极争取上级相应专项资金支持。强化省市财政资金的引导和撬动作用，提高使用效益，支持我区企业加快设备更新和技术改造。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㈢加强政银企合作。</w:t>
      </w:r>
      <w:r>
        <w:rPr>
          <w:rFonts w:ascii="Times New Roman" w:eastAsia="仿宋" w:hAnsi="Times New Roman" w:cs="仿宋" w:hint="eastAsia"/>
          <w:sz w:val="32"/>
          <w:szCs w:val="32"/>
        </w:rPr>
        <w:t>密切与银行、保险、融资租赁机构等合作，向金融机构推荐有融资需求的技术改造重点项目。引导金融机构聚焦设备更新、技术改造、数字化转型、绿色低碳等创新金融产品。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㈣加强要素保障。</w:t>
      </w:r>
      <w:r>
        <w:rPr>
          <w:rFonts w:ascii="Times New Roman" w:eastAsia="仿宋" w:hAnsi="Times New Roman" w:cs="仿宋" w:hint="eastAsia"/>
          <w:sz w:val="32"/>
          <w:szCs w:val="32"/>
        </w:rPr>
        <w:t>加强企业技术改造项目要素资源保障，将技改项目涉及用地、用能等指标纳入优先保障范围，对不新增土地、以设备更新为主的技改项目，推广承诺备案制，简化前期审批手续。支持园区发展，对园区企业技术改造</w:t>
      </w: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仿宋" w:hint="eastAsia"/>
          <w:sz w:val="32"/>
          <w:szCs w:val="32"/>
        </w:rPr>
        <w:t>含配套设施、基础设施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仿宋" w:hint="eastAsia"/>
          <w:sz w:val="32"/>
          <w:szCs w:val="32"/>
        </w:rPr>
        <w:t>项目固定资产贷款符合条件的给予财政贴息支持。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B6538">
        <w:rPr>
          <w:rFonts w:ascii="方正楷体简体" w:eastAsia="方正楷体简体" w:hAnsi="Times New Roman" w:cs="方正楷体简体" w:hint="eastAsia"/>
          <w:sz w:val="32"/>
          <w:szCs w:val="32"/>
        </w:rPr>
        <w:t>㈤强化发展合力。</w:t>
      </w:r>
      <w:r>
        <w:rPr>
          <w:rFonts w:ascii="Times New Roman" w:eastAsia="仿宋" w:hAnsi="Times New Roman" w:cs="仿宋" w:hint="eastAsia"/>
          <w:sz w:val="32"/>
          <w:szCs w:val="32"/>
        </w:rPr>
        <w:t>加强氛围营造，充分利用各种渠道做好政策宣传解读，完整准确传递支持企业设备更新改造的强烈信号，提振企业投资信心。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17BEC" w:rsidRDefault="00917BEC" w:rsidP="004B653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本实施方案执行期至</w:t>
      </w:r>
      <w:r>
        <w:rPr>
          <w:rFonts w:ascii="Times New Roman" w:eastAsia="仿宋" w:hAnsi="Times New Roman" w:cs="Times New Roman"/>
          <w:sz w:val="32"/>
          <w:szCs w:val="32"/>
        </w:rPr>
        <w:t>2027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12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31</w:t>
      </w:r>
      <w:r>
        <w:rPr>
          <w:rFonts w:ascii="Times New Roman" w:eastAsia="仿宋" w:hAnsi="Times New Roman" w:cs="仿宋" w:hint="eastAsia"/>
          <w:sz w:val="32"/>
          <w:szCs w:val="32"/>
        </w:rPr>
        <w:t>日，实施过程中如遇上级政策规定调整，按调整后的政策规定执行。</w:t>
      </w:r>
    </w:p>
    <w:p w:rsidR="00917BEC" w:rsidRDefault="00917BEC" w:rsidP="004B6538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917BEC" w:rsidRDefault="00917BEC" w:rsidP="004B6538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附：沙县区工业领域设备更新改造项目摸底表</w:t>
      </w: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  <w:sectPr w:rsidR="00917BEC" w:rsidSect="004B6538">
          <w:footerReference w:type="default" r:id="rId6"/>
          <w:pgSz w:w="11906" w:h="16838"/>
          <w:pgMar w:top="1701" w:right="1531" w:bottom="1418" w:left="1531" w:header="851" w:footer="992" w:gutter="0"/>
          <w:cols w:space="425"/>
          <w:docGrid w:type="lines" w:linePitch="312"/>
        </w:sectPr>
      </w:pPr>
    </w:p>
    <w:p w:rsidR="00917BEC" w:rsidRDefault="00917BEC">
      <w:pPr>
        <w:adjustRightInd w:val="0"/>
        <w:snapToGrid w:val="0"/>
        <w:spacing w:line="59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7BEC" w:rsidRDefault="00917BEC">
      <w:pPr>
        <w:adjustRightInd w:val="0"/>
        <w:snapToGrid w:val="0"/>
        <w:spacing w:line="590" w:lineRule="exact"/>
        <w:ind w:firstLineChars="700" w:firstLine="3080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沙县区工业领域设备更新改造项目摸底表</w:t>
      </w:r>
    </w:p>
    <w:p w:rsidR="00917BEC" w:rsidRDefault="00917BEC">
      <w:pPr>
        <w:adjustRightInd w:val="0"/>
        <w:snapToGrid w:val="0"/>
        <w:spacing w:line="590" w:lineRule="exact"/>
        <w:ind w:firstLineChars="700" w:firstLine="3080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1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1"/>
        <w:gridCol w:w="1651"/>
        <w:gridCol w:w="2116"/>
        <w:gridCol w:w="1411"/>
        <w:gridCol w:w="1347"/>
        <w:gridCol w:w="1908"/>
        <w:gridCol w:w="1603"/>
        <w:gridCol w:w="1908"/>
        <w:gridCol w:w="1401"/>
      </w:tblGrid>
      <w:tr w:rsidR="00917BEC" w:rsidRPr="00471599" w:rsidTr="004B6538">
        <w:trPr>
          <w:trHeight w:val="1109"/>
          <w:jc w:val="center"/>
        </w:trPr>
        <w:tc>
          <w:tcPr>
            <w:tcW w:w="761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651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企业名称</w:t>
            </w:r>
          </w:p>
        </w:tc>
        <w:tc>
          <w:tcPr>
            <w:tcW w:w="2116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更新设备名称</w:t>
            </w:r>
          </w:p>
        </w:tc>
        <w:tc>
          <w:tcPr>
            <w:tcW w:w="1411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设备数量（台</w:t>
            </w:r>
            <w:r w:rsidRPr="004B6538">
              <w:rPr>
                <w:rFonts w:ascii="黑体" w:eastAsia="黑体" w:hAnsi="黑体" w:cs="黑体"/>
                <w:sz w:val="24"/>
                <w:szCs w:val="24"/>
              </w:rPr>
              <w:t>/</w:t>
            </w: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套）</w:t>
            </w:r>
          </w:p>
        </w:tc>
        <w:tc>
          <w:tcPr>
            <w:tcW w:w="1347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投入金额（万元）</w:t>
            </w:r>
          </w:p>
        </w:tc>
        <w:tc>
          <w:tcPr>
            <w:tcW w:w="1908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更新改造类别（智数、绿色、研发、安全）</w:t>
            </w:r>
          </w:p>
        </w:tc>
        <w:tc>
          <w:tcPr>
            <w:tcW w:w="1603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是否国产设备（是</w:t>
            </w:r>
            <w:r w:rsidRPr="004B6538">
              <w:rPr>
                <w:rFonts w:ascii="黑体" w:eastAsia="黑体" w:hAnsi="黑体" w:cs="黑体"/>
                <w:sz w:val="24"/>
                <w:szCs w:val="24"/>
              </w:rPr>
              <w:t>/</w:t>
            </w: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否）</w:t>
            </w:r>
          </w:p>
        </w:tc>
        <w:tc>
          <w:tcPr>
            <w:tcW w:w="1908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是否老旧装置改造（是</w:t>
            </w:r>
            <w:r w:rsidRPr="004B6538">
              <w:rPr>
                <w:rFonts w:ascii="黑体" w:eastAsia="黑体" w:hAnsi="黑体" w:cs="黑体"/>
                <w:sz w:val="24"/>
                <w:szCs w:val="24"/>
              </w:rPr>
              <w:t>/</w:t>
            </w: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否）</w:t>
            </w:r>
          </w:p>
        </w:tc>
        <w:tc>
          <w:tcPr>
            <w:tcW w:w="1401" w:type="dxa"/>
            <w:vAlign w:val="center"/>
          </w:tcPr>
          <w:p w:rsidR="00917BEC" w:rsidRPr="004B6538" w:rsidRDefault="00917BEC" w:rsidP="0047159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B6538"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17BEC" w:rsidRPr="00471599" w:rsidTr="004B6538">
        <w:trPr>
          <w:trHeight w:hRule="exact" w:val="676"/>
          <w:jc w:val="center"/>
        </w:trPr>
        <w:tc>
          <w:tcPr>
            <w:tcW w:w="76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17BEC" w:rsidRPr="00471599" w:rsidRDefault="00917BE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17BEC" w:rsidRDefault="00917BEC" w:rsidP="004B6538">
      <w:pPr>
        <w:ind w:firstLineChars="200" w:firstLine="640"/>
        <w:rPr>
          <w:rFonts w:ascii="仿宋_GB2312" w:eastAsia="仿宋_GB2312" w:hAnsi="仿宋_GB2312" w:cs="Times New Roman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联系单位：</w:t>
      </w:r>
      <w:r>
        <w:rPr>
          <w:rFonts w:ascii="仿宋" w:eastAsia="仿宋" w:hAnsi="仿宋" w:cs="仿宋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/>
          <w:sz w:val="32"/>
          <w:szCs w:val="32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917BEC" w:rsidRDefault="00917BEC">
      <w:pPr>
        <w:ind w:firstLineChars="200" w:firstLine="640"/>
        <w:rPr>
          <w:rFonts w:ascii="仿宋" w:eastAsia="仿宋" w:hAnsi="仿宋" w:cs="Times New Roman"/>
          <w:sz w:val="32"/>
          <w:szCs w:val="32"/>
        </w:rPr>
        <w:sectPr w:rsidR="00917BEC" w:rsidSect="00855E58">
          <w:pgSz w:w="16838" w:h="11906" w:orient="landscape"/>
          <w:pgMar w:top="1689" w:right="1327" w:bottom="1689" w:left="1327" w:header="851" w:footer="992" w:gutter="0"/>
          <w:cols w:space="425"/>
          <w:docGrid w:type="lines" w:linePitch="312"/>
        </w:sect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Pr="004B2EAD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40" w:lineRule="exact"/>
        <w:rPr>
          <w:rFonts w:ascii="Times New Roman" w:hAnsi="Times New Roman" w:cs="Times New Roman"/>
          <w:noProof/>
          <w:sz w:val="30"/>
          <w:szCs w:val="30"/>
        </w:rPr>
      </w:pPr>
    </w:p>
    <w:p w:rsidR="00917BEC" w:rsidRDefault="00917BEC" w:rsidP="004B6538">
      <w:pPr>
        <w:pStyle w:val="NoSpacing"/>
        <w:tabs>
          <w:tab w:val="left" w:pos="7560"/>
        </w:tabs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" o:spid="_x0000_s1026" type="#_x0000_t32" style="position:absolute;left:0;text-align:left;margin-left:-1.55pt;margin-top:27.7pt;width:447.85pt;height:0;z-index:251658240" strokeweight="1pt">
            <v:shadow color="#7f7f7f" offset="1pt"/>
            <v:textbox>
              <w:txbxContent>
                <w:p w:rsidR="00917BEC" w:rsidRDefault="00917BEC" w:rsidP="004B6538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917BEC" w:rsidRPr="004B6538" w:rsidRDefault="00917BEC" w:rsidP="004B6538">
      <w:pPr>
        <w:ind w:firstLineChars="60" w:firstLine="126"/>
        <w:rPr>
          <w:rFonts w:ascii="仿宋_GB2312" w:eastAsia="仿宋_GB2312" w:hAnsi="仿宋_GB2312" w:cs="Times New Roman"/>
          <w:sz w:val="36"/>
          <w:szCs w:val="36"/>
        </w:rPr>
      </w:pPr>
      <w:r>
        <w:rPr>
          <w:noProof/>
        </w:rPr>
        <w:pict>
          <v:shape id="直接箭头连接符 1" o:spid="_x0000_s1027" type="#_x0000_t32" style="position:absolute;left:0;text-align:left;margin-left:-.8pt;margin-top:31.95pt;width:447.85pt;height:0;z-index:251659264" strokeweight="1pt">
            <v:shadow color="#7f7f7f" offset="1pt"/>
            <v:textbox>
              <w:txbxContent>
                <w:p w:rsidR="00917BEC" w:rsidRDefault="00917BEC" w:rsidP="004B6538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eastAsia="仿宋" w:cs="仿宋" w:hint="eastAsia"/>
          <w:sz w:val="30"/>
          <w:szCs w:val="30"/>
        </w:rPr>
        <w:t>三明市沙县区工信与科技局</w:t>
      </w:r>
      <w:r>
        <w:rPr>
          <w:rFonts w:eastAsia="仿宋"/>
          <w:spacing w:val="-2"/>
          <w:sz w:val="30"/>
          <w:szCs w:val="30"/>
        </w:rPr>
        <w:t xml:space="preserve">              </w:t>
      </w:r>
      <w:r>
        <w:rPr>
          <w:rFonts w:eastAsia="仿宋"/>
          <w:sz w:val="30"/>
          <w:szCs w:val="30"/>
        </w:rPr>
        <w:t>2024</w:t>
      </w:r>
      <w:r>
        <w:rPr>
          <w:rFonts w:eastAsia="仿宋" w:cs="仿宋" w:hint="eastAsia"/>
          <w:sz w:val="30"/>
          <w:szCs w:val="30"/>
        </w:rPr>
        <w:t>年</w:t>
      </w:r>
      <w:r>
        <w:rPr>
          <w:rFonts w:eastAsia="仿宋"/>
          <w:sz w:val="30"/>
          <w:szCs w:val="30"/>
        </w:rPr>
        <w:t>7</w:t>
      </w:r>
      <w:r>
        <w:rPr>
          <w:rFonts w:eastAsia="仿宋" w:cs="仿宋" w:hint="eastAsia"/>
          <w:sz w:val="30"/>
          <w:szCs w:val="30"/>
        </w:rPr>
        <w:t>月</w:t>
      </w:r>
      <w:r>
        <w:rPr>
          <w:rFonts w:eastAsia="仿宋"/>
          <w:sz w:val="30"/>
          <w:szCs w:val="30"/>
        </w:rPr>
        <w:t>31</w:t>
      </w:r>
      <w:r>
        <w:rPr>
          <w:rFonts w:eastAsia="华文仿宋" w:cs="华文仿宋" w:hint="eastAsia"/>
          <w:sz w:val="30"/>
          <w:szCs w:val="30"/>
        </w:rPr>
        <w:t>日印发</w:t>
      </w:r>
    </w:p>
    <w:sectPr w:rsidR="00917BEC" w:rsidRPr="004B6538" w:rsidSect="004B6538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EC" w:rsidRDefault="00917B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7BEC" w:rsidRDefault="00917B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EC" w:rsidRDefault="00917BEC" w:rsidP="00FC22C3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BEC" w:rsidRDefault="00917BE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EC" w:rsidRDefault="00917B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7BEC" w:rsidRDefault="00917B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MzYjIwN2UzNTI5ZTJiYzNjMTFjMjM2Yzc5OGI5MzYifQ=="/>
  </w:docVars>
  <w:rsids>
    <w:rsidRoot w:val="00855E58"/>
    <w:rsid w:val="00471599"/>
    <w:rsid w:val="004B2EAD"/>
    <w:rsid w:val="004B6538"/>
    <w:rsid w:val="00855E58"/>
    <w:rsid w:val="00917BEC"/>
    <w:rsid w:val="00F563C0"/>
    <w:rsid w:val="00FB7D2A"/>
    <w:rsid w:val="00FC22C3"/>
    <w:rsid w:val="12903BCC"/>
    <w:rsid w:val="29230718"/>
    <w:rsid w:val="3C6C64E1"/>
    <w:rsid w:val="3D5622CD"/>
    <w:rsid w:val="440910EC"/>
    <w:rsid w:val="451B45DC"/>
    <w:rsid w:val="456A7CE6"/>
    <w:rsid w:val="5027192D"/>
    <w:rsid w:val="57BA117B"/>
    <w:rsid w:val="5FF27F58"/>
    <w:rsid w:val="680416AF"/>
    <w:rsid w:val="7318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5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55E58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855E58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6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3B6E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6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3B6E"/>
    <w:rPr>
      <w:rFonts w:cs="Calibri"/>
      <w:sz w:val="18"/>
      <w:szCs w:val="18"/>
    </w:rPr>
  </w:style>
  <w:style w:type="paragraph" w:styleId="NoSpacing">
    <w:name w:val="No Spacing"/>
    <w:uiPriority w:val="99"/>
    <w:qFormat/>
    <w:rsid w:val="004B6538"/>
    <w:pPr>
      <w:widowControl w:val="0"/>
      <w:jc w:val="both"/>
    </w:pPr>
    <w:rPr>
      <w:rFonts w:cs="Calibri"/>
      <w:szCs w:val="21"/>
    </w:rPr>
  </w:style>
  <w:style w:type="character" w:styleId="PageNumber">
    <w:name w:val="page number"/>
    <w:basedOn w:val="DefaultParagraphFont"/>
    <w:uiPriority w:val="99"/>
    <w:rsid w:val="004B6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8</Pages>
  <Words>397</Words>
  <Characters>2265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沙工科〔2024〕23号</dc:title>
  <dc:subject/>
  <dc:creator>Administrator</dc:creator>
  <cp:keywords/>
  <dc:description/>
  <cp:lastModifiedBy>Lenovo</cp:lastModifiedBy>
  <cp:revision>2</cp:revision>
  <cp:lastPrinted>2024-07-30T07:43:00Z</cp:lastPrinted>
  <dcterms:created xsi:type="dcterms:W3CDTF">2024-07-31T03:59:00Z</dcterms:created>
  <dcterms:modified xsi:type="dcterms:W3CDTF">2024-07-31T03:59:00Z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8D498A560FFC49638BFAE92590E206F8_13</vt:lpwstr>
  </property>
</Properties>
</file>