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7E0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66F9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宋体" w:hAnsi="宋体" w:eastAsia="宋体" w:cs="宋体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年行政检查工作计划表</w:t>
      </w:r>
    </w:p>
    <w:p w14:paraId="2425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44"/>
        <w:gridCol w:w="935"/>
        <w:gridCol w:w="1871"/>
        <w:gridCol w:w="1020"/>
        <w:gridCol w:w="3484"/>
        <w:gridCol w:w="2043"/>
        <w:gridCol w:w="1233"/>
        <w:gridCol w:w="1633"/>
      </w:tblGrid>
      <w:tr w14:paraId="7B20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tblHeader/>
          <w:jc w:val="center"/>
        </w:trPr>
        <w:tc>
          <w:tcPr>
            <w:tcW w:w="563" w:type="dxa"/>
            <w:noWrap w:val="0"/>
            <w:vAlign w:val="center"/>
          </w:tcPr>
          <w:p w14:paraId="13E2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6312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935" w:type="dxa"/>
            <w:noWrap w:val="0"/>
            <w:vAlign w:val="center"/>
          </w:tcPr>
          <w:p w14:paraId="4CDF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</w:t>
            </w:r>
          </w:p>
          <w:p w14:paraId="7A5E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871" w:type="dxa"/>
            <w:noWrap w:val="0"/>
            <w:vAlign w:val="center"/>
          </w:tcPr>
          <w:p w14:paraId="02C0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抽查对象（行业企业、产品、项目等）</w:t>
            </w:r>
          </w:p>
        </w:tc>
        <w:tc>
          <w:tcPr>
            <w:tcW w:w="1020" w:type="dxa"/>
            <w:noWrap w:val="0"/>
            <w:vAlign w:val="center"/>
          </w:tcPr>
          <w:p w14:paraId="1693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</w:t>
            </w:r>
          </w:p>
          <w:p w14:paraId="18B6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3484" w:type="dxa"/>
            <w:noWrap w:val="0"/>
            <w:vAlign w:val="center"/>
          </w:tcPr>
          <w:p w14:paraId="4EC8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检查具体事项</w:t>
            </w:r>
          </w:p>
        </w:tc>
        <w:tc>
          <w:tcPr>
            <w:tcW w:w="2043" w:type="dxa"/>
            <w:noWrap w:val="0"/>
            <w:vAlign w:val="center"/>
          </w:tcPr>
          <w:p w14:paraId="7D33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检查方式（“双随机、一公开”检查；日常检查；专项检查；重点检查）</w:t>
            </w:r>
          </w:p>
        </w:tc>
        <w:tc>
          <w:tcPr>
            <w:tcW w:w="1233" w:type="dxa"/>
            <w:noWrap w:val="0"/>
            <w:vAlign w:val="center"/>
          </w:tcPr>
          <w:p w14:paraId="64A5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计划抽查时间</w:t>
            </w:r>
          </w:p>
        </w:tc>
        <w:tc>
          <w:tcPr>
            <w:tcW w:w="1633" w:type="dxa"/>
            <w:noWrap w:val="0"/>
            <w:vAlign w:val="center"/>
          </w:tcPr>
          <w:p w14:paraId="6FDA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实施检查</w:t>
            </w:r>
          </w:p>
          <w:p w14:paraId="2D99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C96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563" w:type="dxa"/>
            <w:noWrap w:val="0"/>
            <w:vAlign w:val="center"/>
          </w:tcPr>
          <w:p w14:paraId="7F45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7C84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清理整顿人力资源市场秩序专项行动</w:t>
            </w:r>
          </w:p>
        </w:tc>
        <w:tc>
          <w:tcPr>
            <w:tcW w:w="935" w:type="dxa"/>
            <w:noWrap w:val="0"/>
            <w:vAlign w:val="center"/>
          </w:tcPr>
          <w:p w14:paraId="6E86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871" w:type="dxa"/>
            <w:noWrap w:val="0"/>
            <w:vAlign w:val="center"/>
          </w:tcPr>
          <w:p w14:paraId="2652F9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经营性人力资源服务机构</w:t>
            </w:r>
          </w:p>
          <w:p w14:paraId="76705E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.劳务派遣公司</w:t>
            </w:r>
          </w:p>
        </w:tc>
        <w:tc>
          <w:tcPr>
            <w:tcW w:w="1020" w:type="dxa"/>
            <w:noWrap w:val="0"/>
            <w:vAlign w:val="center"/>
          </w:tcPr>
          <w:p w14:paraId="1FF3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</w:rPr>
              <w:t>不少于检查对象名录库的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11"/>
                <w:sz w:val="24"/>
                <w:szCs w:val="24"/>
                <w:u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</w:rPr>
              <w:t>%</w:t>
            </w:r>
          </w:p>
        </w:tc>
        <w:tc>
          <w:tcPr>
            <w:tcW w:w="3484" w:type="dxa"/>
            <w:noWrap w:val="0"/>
            <w:vAlign w:val="center"/>
          </w:tcPr>
          <w:p w14:paraId="7CA5E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检查对象遵守有关法律法规情况；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.检查对象严格按照许可范围及有关规范开展业务情况；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.检查对象申请批设时提交材料的准确性和真实性；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.被投诉举报事项核查情况；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.其他根据法律法规规章规定可以检查的内容。</w:t>
            </w:r>
          </w:p>
        </w:tc>
        <w:tc>
          <w:tcPr>
            <w:tcW w:w="2043" w:type="dxa"/>
            <w:noWrap w:val="0"/>
            <w:vAlign w:val="center"/>
          </w:tcPr>
          <w:p w14:paraId="40736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“双随机、一公开”检查；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233" w:type="dxa"/>
            <w:noWrap w:val="0"/>
            <w:vAlign w:val="center"/>
          </w:tcPr>
          <w:p w14:paraId="67DF8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11"/>
                <w:sz w:val="24"/>
                <w:szCs w:val="24"/>
                <w:u w:val="none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年</w:t>
            </w:r>
          </w:p>
          <w:p w14:paraId="6E1C1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（其中劳务派遣公司，上、下半年各检查一次）</w:t>
            </w:r>
          </w:p>
        </w:tc>
        <w:tc>
          <w:tcPr>
            <w:tcW w:w="1633" w:type="dxa"/>
            <w:noWrap w:val="0"/>
            <w:vAlign w:val="center"/>
          </w:tcPr>
          <w:p w14:paraId="2C86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区人社局、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市场监管局、公安局、教育局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，区委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网信办</w:t>
            </w:r>
          </w:p>
        </w:tc>
      </w:tr>
      <w:tr w14:paraId="54AE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63" w:type="dxa"/>
            <w:noWrap w:val="0"/>
            <w:vAlign w:val="center"/>
          </w:tcPr>
          <w:p w14:paraId="3725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noWrap w:val="0"/>
            <w:vAlign w:val="center"/>
          </w:tcPr>
          <w:p w14:paraId="487C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设立民办职业资格培训、职业技能培训学校审批及设立普通、高级技工学校审批</w:t>
            </w:r>
          </w:p>
        </w:tc>
        <w:tc>
          <w:tcPr>
            <w:tcW w:w="935" w:type="dxa"/>
            <w:noWrap w:val="0"/>
            <w:vAlign w:val="center"/>
          </w:tcPr>
          <w:p w14:paraId="0B70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871" w:type="dxa"/>
            <w:noWrap w:val="0"/>
            <w:vAlign w:val="center"/>
          </w:tcPr>
          <w:p w14:paraId="5D1E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民办职业技能培训学校</w:t>
            </w:r>
          </w:p>
        </w:tc>
        <w:tc>
          <w:tcPr>
            <w:tcW w:w="1020" w:type="dxa"/>
            <w:noWrap w:val="0"/>
            <w:vAlign w:val="center"/>
          </w:tcPr>
          <w:p w14:paraId="2C91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3484" w:type="dxa"/>
            <w:noWrap w:val="0"/>
            <w:vAlign w:val="center"/>
          </w:tcPr>
          <w:p w14:paraId="25DD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.检查对象遵守有关法律法规情况；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.检查对象严格按照许可范围及有关规范开展业务情况；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.检查对象申请批设时提交材料的准确性和真实性；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.被投诉举报事项核查情况；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.其他根据法律法规规章规定可以检查的内容。</w:t>
            </w:r>
          </w:p>
        </w:tc>
        <w:tc>
          <w:tcPr>
            <w:tcW w:w="2043" w:type="dxa"/>
            <w:noWrap w:val="0"/>
            <w:vAlign w:val="center"/>
          </w:tcPr>
          <w:p w14:paraId="1A313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“双随机、一公开”检查</w:t>
            </w:r>
          </w:p>
        </w:tc>
        <w:tc>
          <w:tcPr>
            <w:tcW w:w="1233" w:type="dxa"/>
            <w:noWrap w:val="0"/>
            <w:vAlign w:val="center"/>
          </w:tcPr>
          <w:p w14:paraId="4E011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1633" w:type="dxa"/>
            <w:noWrap w:val="0"/>
            <w:vAlign w:val="center"/>
          </w:tcPr>
          <w:p w14:paraId="03BF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0AE7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63" w:type="dxa"/>
            <w:noWrap w:val="0"/>
            <w:vAlign w:val="center"/>
          </w:tcPr>
          <w:p w14:paraId="0A49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noWrap w:val="0"/>
            <w:vAlign w:val="center"/>
          </w:tcPr>
          <w:p w14:paraId="4F65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夏季高温天气劳动保护专项检查</w:t>
            </w:r>
          </w:p>
        </w:tc>
        <w:tc>
          <w:tcPr>
            <w:tcW w:w="935" w:type="dxa"/>
            <w:noWrap w:val="0"/>
            <w:vAlign w:val="center"/>
          </w:tcPr>
          <w:p w14:paraId="7B61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871" w:type="dxa"/>
            <w:noWrap w:val="0"/>
            <w:vAlign w:val="center"/>
          </w:tcPr>
          <w:p w14:paraId="6659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.企业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.在建项目</w:t>
            </w:r>
          </w:p>
        </w:tc>
        <w:tc>
          <w:tcPr>
            <w:tcW w:w="1020" w:type="dxa"/>
            <w:noWrap w:val="0"/>
            <w:vAlign w:val="center"/>
          </w:tcPr>
          <w:p w14:paraId="2AF2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3484" w:type="dxa"/>
            <w:noWrap w:val="0"/>
            <w:vAlign w:val="center"/>
          </w:tcPr>
          <w:p w14:paraId="494D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.检查对象遵守有关法律法规情况；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.检查对象严格按照许可范围及有关规范开展业务情况；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.检查对象申请批设时提交材料的准确性和真实性；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.被投诉举报事项核查情况；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.其他根据法律法规规章规定可以检查的内容。</w:t>
            </w:r>
          </w:p>
        </w:tc>
        <w:tc>
          <w:tcPr>
            <w:tcW w:w="2043" w:type="dxa"/>
            <w:noWrap w:val="0"/>
            <w:vAlign w:val="center"/>
          </w:tcPr>
          <w:p w14:paraId="04805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“双随机、一公开”检查</w:t>
            </w:r>
          </w:p>
        </w:tc>
        <w:tc>
          <w:tcPr>
            <w:tcW w:w="1233" w:type="dxa"/>
            <w:noWrap w:val="0"/>
            <w:vAlign w:val="center"/>
          </w:tcPr>
          <w:p w14:paraId="6B2B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1633" w:type="dxa"/>
            <w:noWrap w:val="0"/>
            <w:vAlign w:val="center"/>
          </w:tcPr>
          <w:p w14:paraId="77C8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5C37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563" w:type="dxa"/>
            <w:noWrap w:val="0"/>
            <w:vAlign w:val="center"/>
          </w:tcPr>
          <w:p w14:paraId="48D7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44" w:type="dxa"/>
            <w:noWrap w:val="0"/>
            <w:vAlign w:val="center"/>
          </w:tcPr>
          <w:p w14:paraId="56AA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保障农民工工资支付工作专项检查</w:t>
            </w:r>
          </w:p>
        </w:tc>
        <w:tc>
          <w:tcPr>
            <w:tcW w:w="935" w:type="dxa"/>
            <w:noWrap w:val="0"/>
            <w:vAlign w:val="center"/>
          </w:tcPr>
          <w:p w14:paraId="044E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871" w:type="dxa"/>
            <w:noWrap w:val="0"/>
            <w:vAlign w:val="center"/>
          </w:tcPr>
          <w:p w14:paraId="5C06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工程建设领域在建项目</w:t>
            </w:r>
          </w:p>
        </w:tc>
        <w:tc>
          <w:tcPr>
            <w:tcW w:w="1020" w:type="dxa"/>
            <w:noWrap w:val="0"/>
            <w:vAlign w:val="center"/>
          </w:tcPr>
          <w:p w14:paraId="15DE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家</w:t>
            </w:r>
          </w:p>
        </w:tc>
        <w:tc>
          <w:tcPr>
            <w:tcW w:w="3484" w:type="dxa"/>
            <w:noWrap w:val="0"/>
            <w:vAlign w:val="center"/>
          </w:tcPr>
          <w:p w14:paraId="2BBF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.检查对象遵守有关法律法规情况；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.被投诉举报事项核查情况；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.其他根据法律法规规章规定可以检查的内容。</w:t>
            </w:r>
          </w:p>
        </w:tc>
        <w:tc>
          <w:tcPr>
            <w:tcW w:w="2043" w:type="dxa"/>
            <w:noWrap w:val="0"/>
            <w:vAlign w:val="center"/>
          </w:tcPr>
          <w:p w14:paraId="730D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专项检查</w:t>
            </w:r>
          </w:p>
        </w:tc>
        <w:tc>
          <w:tcPr>
            <w:tcW w:w="1233" w:type="dxa"/>
            <w:noWrap w:val="0"/>
            <w:vAlign w:val="center"/>
          </w:tcPr>
          <w:p w14:paraId="236B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1633" w:type="dxa"/>
            <w:noWrap w:val="0"/>
            <w:vAlign w:val="center"/>
          </w:tcPr>
          <w:p w14:paraId="78CD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人社局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住建局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水利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局、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交通运输局</w:t>
            </w:r>
          </w:p>
        </w:tc>
      </w:tr>
      <w:tr w14:paraId="72C1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563" w:type="dxa"/>
            <w:noWrap w:val="0"/>
            <w:vAlign w:val="center"/>
          </w:tcPr>
          <w:p w14:paraId="448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44" w:type="dxa"/>
            <w:noWrap w:val="0"/>
            <w:vAlign w:val="center"/>
          </w:tcPr>
          <w:p w14:paraId="3F30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用人单位（与劳动者建立劳动关系）工资支付情况检查</w:t>
            </w:r>
          </w:p>
        </w:tc>
        <w:tc>
          <w:tcPr>
            <w:tcW w:w="935" w:type="dxa"/>
            <w:noWrap w:val="0"/>
            <w:vAlign w:val="center"/>
          </w:tcPr>
          <w:p w14:paraId="4490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871" w:type="dxa"/>
            <w:noWrap w:val="0"/>
            <w:vAlign w:val="center"/>
          </w:tcPr>
          <w:p w14:paraId="61CA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与劳动者建立劳动关系的企业和个体工商户</w:t>
            </w:r>
          </w:p>
        </w:tc>
        <w:tc>
          <w:tcPr>
            <w:tcW w:w="1020" w:type="dxa"/>
            <w:noWrap w:val="0"/>
            <w:vAlign w:val="center"/>
          </w:tcPr>
          <w:p w14:paraId="68A6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家</w:t>
            </w:r>
          </w:p>
        </w:tc>
        <w:tc>
          <w:tcPr>
            <w:tcW w:w="3484" w:type="dxa"/>
            <w:noWrap w:val="0"/>
            <w:vAlign w:val="center"/>
          </w:tcPr>
          <w:p w14:paraId="328C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用人单位支付劳动者工资和执行最低工资标准的情况</w:t>
            </w:r>
          </w:p>
        </w:tc>
        <w:tc>
          <w:tcPr>
            <w:tcW w:w="2043" w:type="dxa"/>
            <w:noWrap w:val="0"/>
            <w:vAlign w:val="center"/>
          </w:tcPr>
          <w:p w14:paraId="59E3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“双随机、一公开”检查</w:t>
            </w:r>
          </w:p>
        </w:tc>
        <w:tc>
          <w:tcPr>
            <w:tcW w:w="1233" w:type="dxa"/>
            <w:noWrap w:val="0"/>
            <w:vAlign w:val="center"/>
          </w:tcPr>
          <w:p w14:paraId="4C86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</w:p>
          <w:p w14:paraId="0101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下半年</w:t>
            </w:r>
          </w:p>
        </w:tc>
        <w:tc>
          <w:tcPr>
            <w:tcW w:w="1633" w:type="dxa"/>
            <w:noWrap w:val="0"/>
            <w:vAlign w:val="center"/>
          </w:tcPr>
          <w:p w14:paraId="665F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区人社局、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市场监管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、税务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、交通运输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局</w:t>
            </w:r>
          </w:p>
        </w:tc>
      </w:tr>
    </w:tbl>
    <w:p w14:paraId="63E1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4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注：具体抽查时间以及抽查对象以实际为准。抽查配合单位是指牵头组织跨部门联合抽查的配合单位。抽查计划应盖本单位</w:t>
      </w:r>
    </w:p>
    <w:p w14:paraId="33E2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双随机抽查事项清单全部内容。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C2280"/>
    <w:multiLevelType w:val="singleLevel"/>
    <w:tmpl w:val="7DFC22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1325A"/>
    <w:rsid w:val="0581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2025-07-28T07:58:00Z</dcterms:created>
  <dc:creator>Administrator</dc:creator>
  <cp:lastModifiedBy>Administrator</cp:lastModifiedBy>
  <dcterms:modified xsi:type="dcterms:W3CDTF">2025-07-28T08:06:41Z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A7142D298ED6453E8F774E0EC530E502_11</vt:lpwstr>
  </property>
  <property fmtid="{D5CDD505-2E9C-101B-9397-08002B2CF9AE}" pid="4" name="KSOTemplateDocerSaveRecord">
    <vt:lpwstr>eyJoZGlkIjoiZjVmOTcwYzYzMGQ1MTExZWM2YzFlZTM0NWE1ZDdlMzgifQ==</vt:lpwstr>
  </property>
</Properties>
</file>