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eastAsia="仿宋_GB2312"/>
          <w:sz w:val="32"/>
        </w:rPr>
      </w:pPr>
    </w:p>
    <w:p>
      <w:pPr>
        <w:jc w:val="right"/>
        <w:rPr>
          <w:rFonts w:ascii="Times New Roman" w:hAnsi="Times New Roman" w:eastAsia="仿宋_GB2312"/>
          <w:sz w:val="32"/>
        </w:rPr>
      </w:pPr>
    </w:p>
    <w:p>
      <w:pPr>
        <w:wordWrap w:val="0"/>
        <w:jc w:val="righ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明</w:t>
      </w:r>
      <w:r>
        <w:rPr>
          <w:rFonts w:ascii="Times New Roman" w:hAnsi="Times New Roman" w:eastAsia="方正仿宋简体"/>
          <w:kern w:val="0"/>
          <w:sz w:val="32"/>
          <w:szCs w:val="32"/>
        </w:rPr>
        <w:t>环评沙〔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2023</w:t>
      </w:r>
      <w:r>
        <w:rPr>
          <w:rFonts w:ascii="Times New Roman" w:hAnsi="Times New Roman" w:eastAsia="方正仿宋简体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简体"/>
          <w:kern w:val="0"/>
          <w:sz w:val="32"/>
          <w:szCs w:val="32"/>
        </w:rPr>
        <w:t>号</w:t>
      </w:r>
    </w:p>
    <w:p>
      <w:pPr>
        <w:spacing w:line="50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三明市生态环境局</w:t>
      </w:r>
    </w:p>
    <w:p>
      <w:pPr>
        <w:spacing w:line="700" w:lineRule="exact"/>
        <w:jc w:val="center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eastAsia="zh-CN"/>
        </w:rPr>
        <w:t>中国机械总院集团海西(福建)分院有限公司中机院碳材料生产项目</w:t>
      </w:r>
      <w:r>
        <w:rPr>
          <w:rFonts w:ascii="Times New Roman" w:hAnsi="Times New Roman" w:eastAsia="方正小标宋简体"/>
          <w:kern w:val="0"/>
          <w:sz w:val="44"/>
          <w:szCs w:val="44"/>
        </w:rPr>
        <w:t>环境影响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报告表</w:t>
      </w:r>
      <w:r>
        <w:rPr>
          <w:rFonts w:ascii="Times New Roman" w:hAnsi="Times New Roman" w:eastAsia="方正小标宋简体"/>
          <w:kern w:val="0"/>
          <w:sz w:val="44"/>
          <w:szCs w:val="44"/>
        </w:rPr>
        <w:t>的批复</w:t>
      </w:r>
    </w:p>
    <w:p>
      <w:pPr>
        <w:widowControl/>
        <w:spacing w:line="60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widowControl/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中国机械总院集团海西(福建)分院有限公司</w:t>
      </w:r>
      <w:r>
        <w:rPr>
          <w:rFonts w:ascii="Times New Roman" w:hAnsi="Times New Roman" w:eastAsia="方正仿宋简体"/>
          <w:kern w:val="0"/>
          <w:sz w:val="32"/>
          <w:szCs w:val="32"/>
        </w:rPr>
        <w:t>：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你公司报送的</w:t>
      </w:r>
      <w:r>
        <w:rPr>
          <w:rFonts w:ascii="Times New Roman" w:hAnsi="Times New Roman" w:eastAsia="方正仿宋简体"/>
          <w:kern w:val="0"/>
          <w:sz w:val="32"/>
          <w:szCs w:val="32"/>
        </w:rPr>
        <w:t>《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中国机械总院集团海西(福建)分院有限公司中机院碳材料生产项目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环境影响报告表</w:t>
      </w:r>
      <w:r>
        <w:rPr>
          <w:rFonts w:ascii="Times New Roman" w:hAnsi="Times New Roman" w:eastAsia="方正仿宋简体"/>
          <w:kern w:val="0"/>
          <w:sz w:val="32"/>
          <w:szCs w:val="32"/>
        </w:rPr>
        <w:t>》（以下简称“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报告表</w:t>
      </w:r>
      <w:r>
        <w:rPr>
          <w:rFonts w:ascii="Times New Roman" w:hAnsi="Times New Roman" w:eastAsia="方正仿宋简体"/>
          <w:kern w:val="0"/>
          <w:sz w:val="32"/>
          <w:szCs w:val="32"/>
        </w:rPr>
        <w:t>”）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和申请审批的函收悉。我局于2023年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日受理该报告表的审批申请，在沙县区人民政府门户网站对受理情况进行公开，并将报告表全本公示；于2023年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日在沙县区人民政府门户网站对报告表拟作出的审批意见进行公开；上述公示、公开期间，我局未收到关于本报告表的意见。经研究，对该项目环境影响报告表批复如下：</w:t>
      </w:r>
    </w:p>
    <w:p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</w:t>
      </w:r>
      <w:r>
        <w:rPr>
          <w:rFonts w:hint="eastAsia" w:ascii="Times New Roman" w:hAnsi="Times New Roman" w:eastAsia="方正仿宋简体"/>
          <w:sz w:val="32"/>
          <w:szCs w:val="32"/>
        </w:rPr>
        <w:t>拟建项目选址于福建省三明市沙县海西(三明)高端装备制造产业园11#厂房，新增租用厂房面积12000m</w:t>
      </w:r>
      <w:r>
        <w:rPr>
          <w:rFonts w:hint="eastAsia" w:ascii="Times New Roman" w:hAnsi="Times New Roman" w:eastAsia="方正仿宋简体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方正仿宋简体"/>
          <w:sz w:val="32"/>
          <w:szCs w:val="32"/>
        </w:rPr>
        <w:t>，迁扩建完成后11#厂房年产石墨制品3000t/a。</w:t>
      </w:r>
      <w:r>
        <w:rPr>
          <w:rFonts w:ascii="Times New Roman" w:hAnsi="Times New Roman" w:eastAsia="方正仿宋简体"/>
          <w:sz w:val="32"/>
          <w:szCs w:val="32"/>
        </w:rPr>
        <w:t>根据</w:t>
      </w:r>
      <w:r>
        <w:rPr>
          <w:rFonts w:hint="eastAsia" w:ascii="Times New Roman" w:hAnsi="Times New Roman" w:eastAsia="方正仿宋简体"/>
          <w:sz w:val="32"/>
          <w:szCs w:val="32"/>
        </w:rPr>
        <w:t>报告表</w:t>
      </w:r>
      <w:r>
        <w:rPr>
          <w:rFonts w:ascii="Times New Roman" w:hAnsi="Times New Roman" w:eastAsia="方正仿宋简体"/>
          <w:sz w:val="32"/>
          <w:szCs w:val="32"/>
        </w:rPr>
        <w:t>评价结论，在全面落实</w:t>
      </w:r>
      <w:r>
        <w:rPr>
          <w:rFonts w:hint="eastAsia" w:ascii="Times New Roman" w:hAnsi="Times New Roman" w:eastAsia="方正仿宋简体"/>
          <w:sz w:val="32"/>
          <w:szCs w:val="32"/>
        </w:rPr>
        <w:t>报告表</w:t>
      </w:r>
      <w:r>
        <w:rPr>
          <w:rFonts w:ascii="Times New Roman" w:hAnsi="Times New Roman" w:eastAsia="方正仿宋简体"/>
          <w:sz w:val="32"/>
          <w:szCs w:val="32"/>
        </w:rPr>
        <w:t>提出的各项污染防治措施的前提下，该项目建设对环境的不利影响能够得到缓解和控制。因此，在</w:t>
      </w:r>
      <w:r>
        <w:rPr>
          <w:rFonts w:hint="eastAsia" w:ascii="Times New Roman" w:hAnsi="Times New Roman" w:eastAsia="方正仿宋简体"/>
          <w:sz w:val="32"/>
          <w:szCs w:val="32"/>
        </w:rPr>
        <w:t>你公司</w:t>
      </w:r>
      <w:r>
        <w:rPr>
          <w:rFonts w:ascii="Times New Roman" w:hAnsi="Times New Roman" w:eastAsia="方正仿宋简体"/>
          <w:sz w:val="32"/>
          <w:szCs w:val="32"/>
        </w:rPr>
        <w:t>取得其它相关行政许可的前提下，我局从环境保护方面同意</w:t>
      </w:r>
      <w:r>
        <w:rPr>
          <w:rFonts w:hint="eastAsia" w:ascii="Times New Roman" w:hAnsi="Times New Roman" w:eastAsia="方正仿宋简体"/>
          <w:sz w:val="32"/>
          <w:szCs w:val="32"/>
        </w:rPr>
        <w:t>报告表中所列建设项目的性质、规模、地点、采用的生产工艺、环境保护对策措施。</w:t>
      </w:r>
    </w:p>
    <w:p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</w:t>
      </w:r>
      <w:r>
        <w:rPr>
          <w:rFonts w:hint="eastAsia" w:ascii="Times New Roman" w:hAnsi="Times New Roman" w:eastAsia="方正仿宋简体"/>
          <w:sz w:val="32"/>
          <w:szCs w:val="32"/>
        </w:rPr>
        <w:t>项目建设须符合</w:t>
      </w:r>
      <w:r>
        <w:rPr>
          <w:rFonts w:ascii="Times New Roman" w:hAnsi="Times New Roman" w:eastAsia="方正仿宋简体"/>
          <w:sz w:val="32"/>
          <w:szCs w:val="32"/>
        </w:rPr>
        <w:t>《三明市“三线一单”生态环境分区管控方案》</w:t>
      </w:r>
      <w:r>
        <w:rPr>
          <w:rFonts w:hint="eastAsia" w:ascii="Times New Roman" w:hAnsi="Times New Roman" w:eastAsia="方正仿宋简体"/>
          <w:sz w:val="32"/>
          <w:szCs w:val="32"/>
        </w:rPr>
        <w:t>、国家产业政策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方正仿宋简体"/>
          <w:sz w:val="32"/>
          <w:szCs w:val="32"/>
        </w:rPr>
        <w:t>规划环评要求。</w:t>
      </w:r>
    </w:p>
    <w:p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</w:t>
      </w:r>
      <w:r>
        <w:rPr>
          <w:rFonts w:hint="eastAsia" w:ascii="Times New Roman" w:hAnsi="Times New Roman" w:eastAsia="方正仿宋简体"/>
          <w:sz w:val="32"/>
          <w:szCs w:val="32"/>
        </w:rPr>
        <w:t>在项目工程设计、建设和环境管理中，你公司必须严格落实报告表中提出的各项环保要求，确保其污染物达标排放、符合总量控制要求和不得对周边环境产生影响，并着重做好以下工作：</w:t>
      </w:r>
    </w:p>
    <w:p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㈠加强施工期污染防治。施工期应做到</w:t>
      </w:r>
      <w:r>
        <w:rPr>
          <w:rFonts w:ascii="Times New Roman" w:hAnsi="Times New Roman" w:eastAsia="方正仿宋简体"/>
          <w:sz w:val="32"/>
          <w:szCs w:val="32"/>
        </w:rPr>
        <w:t>科学、合理施工，并按</w:t>
      </w:r>
      <w:r>
        <w:rPr>
          <w:rFonts w:hint="eastAsia" w:ascii="Times New Roman" w:hAnsi="Times New Roman" w:eastAsia="方正仿宋简体"/>
          <w:sz w:val="32"/>
          <w:szCs w:val="32"/>
        </w:rPr>
        <w:t>报告表</w:t>
      </w:r>
      <w:r>
        <w:rPr>
          <w:rFonts w:ascii="Times New Roman" w:hAnsi="Times New Roman" w:eastAsia="方正仿宋简体"/>
          <w:sz w:val="32"/>
          <w:szCs w:val="32"/>
        </w:rPr>
        <w:t>的要求采取措施，防止施工期粉尘、噪声、废水以及施工垃圾污染。</w:t>
      </w:r>
    </w:p>
    <w:p>
      <w:pPr>
        <w:widowControl/>
        <w:spacing w:line="570" w:lineRule="exact"/>
        <w:ind w:firstLine="630"/>
        <w:rPr>
          <w:rFonts w:hint="eastAsia" w:ascii="Times New Roman" w:hAnsi="Times New Roman" w:eastAsia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z w:val="32"/>
          <w:szCs w:val="32"/>
        </w:rPr>
        <w:t>㈡</w:t>
      </w:r>
      <w:r>
        <w:rPr>
          <w:rFonts w:ascii="Times New Roman" w:hAnsi="Times New Roman" w:eastAsia="方正仿宋简体"/>
          <w:sz w:val="32"/>
          <w:szCs w:val="32"/>
        </w:rPr>
        <w:t>加强</w:t>
      </w:r>
      <w:r>
        <w:rPr>
          <w:rFonts w:hint="eastAsia" w:ascii="Times New Roman" w:hAnsi="Times New Roman" w:eastAsia="方正仿宋简体"/>
          <w:sz w:val="32"/>
          <w:szCs w:val="32"/>
        </w:rPr>
        <w:t>水</w:t>
      </w:r>
      <w:r>
        <w:rPr>
          <w:rFonts w:ascii="Times New Roman" w:hAnsi="Times New Roman" w:eastAsia="方正仿宋简体"/>
          <w:sz w:val="32"/>
          <w:szCs w:val="32"/>
        </w:rPr>
        <w:t>污染防治</w:t>
      </w:r>
      <w:r>
        <w:rPr>
          <w:rFonts w:hint="eastAsia" w:ascii="Times New Roman" w:hAnsi="Times New Roman" w:eastAsia="方正仿宋简体"/>
          <w:sz w:val="32"/>
          <w:szCs w:val="32"/>
        </w:rPr>
        <w:t>。本项目无生产废水外排，生活污水经三级化粪池处理后通过园区市政管网进入金沙园(一期)污水处理厂处理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㈢加强大气污染防治</w:t>
      </w:r>
      <w:r>
        <w:rPr>
          <w:rFonts w:hint="eastAsia" w:ascii="Times New Roman" w:hAnsi="Times New Roman" w:eastAsia="方正仿宋简体"/>
          <w:sz w:val="32"/>
          <w:szCs w:val="32"/>
        </w:rPr>
        <w:t>。项目拟将各个生产区域均设置为密闭负压车间，厂房北侧设置3套袋式除尘器，加工中心(CNC)等设备加工粉尘产生的粉尘分别经集气罩收集，由对应的布袋除尘设施处理后，合并至15m的排气筒排放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；厂房南侧设置1套袋式除尘器，带锯床等设备产生的粉尘经集气罩收集，由布袋除尘设施处理后通过15m的排气筒排放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㈣加强噪声污染防治。应优先选用低噪声设备</w:t>
      </w:r>
      <w:bookmarkStart w:id="0" w:name="_GoBack"/>
      <w:bookmarkEnd w:id="0"/>
      <w:r>
        <w:rPr>
          <w:rFonts w:ascii="Times New Roman" w:hAnsi="Times New Roman" w:eastAsia="方正仿宋简体"/>
          <w:sz w:val="32"/>
          <w:szCs w:val="32"/>
        </w:rPr>
        <w:t>，合理布局，加强设备的日常维护管理，</w:t>
      </w:r>
      <w:r>
        <w:rPr>
          <w:rFonts w:hint="eastAsia" w:ascii="Times New Roman" w:hAnsi="Times New Roman" w:eastAsia="方正仿宋简体"/>
          <w:sz w:val="32"/>
          <w:szCs w:val="32"/>
        </w:rPr>
        <w:t>采取隔声、减振等降噪措施</w:t>
      </w:r>
      <w:r>
        <w:rPr>
          <w:rFonts w:ascii="Times New Roman" w:hAnsi="Times New Roman" w:eastAsia="方正仿宋简体"/>
          <w:sz w:val="32"/>
          <w:szCs w:val="32"/>
        </w:rPr>
        <w:t>确保</w:t>
      </w:r>
      <w:r>
        <w:rPr>
          <w:rFonts w:hint="eastAsia" w:ascii="Times New Roman" w:hAnsi="Times New Roman" w:eastAsia="方正仿宋简体"/>
          <w:sz w:val="32"/>
          <w:szCs w:val="32"/>
        </w:rPr>
        <w:t>环境</w:t>
      </w:r>
      <w:r>
        <w:rPr>
          <w:rFonts w:ascii="Times New Roman" w:hAnsi="Times New Roman" w:eastAsia="方正仿宋简体"/>
          <w:sz w:val="32"/>
          <w:szCs w:val="32"/>
        </w:rPr>
        <w:t>噪声达标。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㈤加强固体废物污染防治</w:t>
      </w:r>
      <w:r>
        <w:rPr>
          <w:rFonts w:hint="eastAsia" w:ascii="Times New Roman" w:hAnsi="Times New Roman" w:eastAsia="方正仿宋简体"/>
          <w:sz w:val="32"/>
          <w:szCs w:val="32"/>
        </w:rPr>
        <w:t>。一般固废拟收集后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合理处置；废机油和废机油桶</w:t>
      </w:r>
      <w:r>
        <w:rPr>
          <w:rFonts w:hint="eastAsia" w:ascii="Times New Roman" w:hAnsi="Times New Roman" w:eastAsia="方正仿宋简体"/>
          <w:sz w:val="32"/>
          <w:szCs w:val="32"/>
        </w:rPr>
        <w:t>暂存于危废暂存间，定期交由有处理资质的单位处理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；生活垃圾定期由环卫部门负责统一清运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>
      <w:pPr>
        <w:widowControl/>
        <w:spacing w:line="52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</w:t>
      </w:r>
      <w:r>
        <w:rPr>
          <w:rFonts w:ascii="Times New Roman" w:hAnsi="Times New Roman" w:eastAsia="方正仿宋简体"/>
          <w:sz w:val="32"/>
          <w:szCs w:val="32"/>
        </w:rPr>
        <w:t>项目建设应严格执行环境保护设施与主体工程同时设计、同时施工、同时投产使用的环境保护“三同时”制度</w:t>
      </w:r>
      <w:r>
        <w:rPr>
          <w:rFonts w:hint="eastAsia" w:ascii="Times New Roman" w:hAnsi="Times New Roman" w:eastAsia="方正仿宋简体"/>
          <w:sz w:val="32"/>
          <w:szCs w:val="32"/>
        </w:rPr>
        <w:t>，并做好与排污许可证申领的衔接。项目竣工后，按规定及时开展竣工环境保护验收</w:t>
      </w:r>
      <w:r>
        <w:rPr>
          <w:rFonts w:ascii="Times New Roman" w:hAnsi="Times New Roman" w:eastAsia="方正仿宋简体"/>
          <w:sz w:val="32"/>
          <w:szCs w:val="32"/>
        </w:rPr>
        <w:t>。项目运营期的环境现场监督管理工作由</w:t>
      </w:r>
      <w:r>
        <w:rPr>
          <w:rFonts w:hint="eastAsia" w:ascii="Times New Roman" w:hAnsi="Times New Roman" w:eastAsia="方正仿宋简体"/>
          <w:sz w:val="32"/>
          <w:szCs w:val="32"/>
        </w:rPr>
        <w:t>三明市沙县生态环境保护综合</w:t>
      </w:r>
      <w:r>
        <w:rPr>
          <w:rFonts w:ascii="Times New Roman" w:hAnsi="Times New Roman" w:eastAsia="方正仿宋简体"/>
          <w:sz w:val="32"/>
          <w:szCs w:val="32"/>
        </w:rPr>
        <w:t>执法大队具体负责。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五、</w:t>
      </w:r>
      <w:r>
        <w:rPr>
          <w:rFonts w:ascii="Times New Roman" w:hAnsi="Times New Roman" w:eastAsia="方正仿宋简体"/>
          <w:sz w:val="32"/>
          <w:szCs w:val="32"/>
        </w:rPr>
        <w:t>在项目施工和运营过程中，应建立畅通的公众参与平台，满足公众合理的环境保护要求；按照国家相关法律、法规要求，做好环境信息公开，定期发布企业环境信息，主动接受社会监督。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六、</w:t>
      </w:r>
      <w:r>
        <w:rPr>
          <w:rFonts w:ascii="Times New Roman" w:hAnsi="Times New Roman" w:eastAsia="方正仿宋简体"/>
          <w:sz w:val="32"/>
          <w:szCs w:val="32"/>
        </w:rPr>
        <w:t>项目在环保申请过程中瞒报、假报行为是严重违法行为，并承担由此引起的一切后果。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七、</w:t>
      </w:r>
      <w:r>
        <w:rPr>
          <w:rFonts w:ascii="Times New Roman" w:hAnsi="Times New Roman" w:eastAsia="方正仿宋简体"/>
          <w:sz w:val="32"/>
          <w:szCs w:val="32"/>
        </w:rPr>
        <w:t>建设项目的环境影响评价文件经批准后，建设项目的性质、规模、地点、采用的生产工艺或者防治污染、防止生态破坏的措施发生重大变动的，建设单位应当重新报批建设项目的环境影响评价文件。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八、</w:t>
      </w:r>
      <w:r>
        <w:rPr>
          <w:rFonts w:ascii="Times New Roman" w:hAnsi="Times New Roman" w:eastAsia="方正仿宋简体"/>
          <w:sz w:val="32"/>
          <w:szCs w:val="32"/>
        </w:rPr>
        <w:t>项目建设涉及其他必须审批的，应按相关规定报批后，方可动工建设。</w:t>
      </w:r>
    </w:p>
    <w:p>
      <w:pPr>
        <w:widowControl/>
        <w:spacing w:line="570" w:lineRule="exact"/>
        <w:ind w:firstLine="4640" w:firstLineChars="1450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widowControl/>
        <w:spacing w:line="570" w:lineRule="exact"/>
        <w:ind w:firstLine="4640" w:firstLineChars="145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三明市生态环境局</w:t>
      </w:r>
    </w:p>
    <w:p>
      <w:pPr>
        <w:widowControl/>
        <w:spacing w:line="570" w:lineRule="exact"/>
        <w:ind w:firstLine="4640" w:firstLineChars="145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2023</w:t>
      </w:r>
      <w:r>
        <w:rPr>
          <w:rFonts w:ascii="Times New Roman" w:hAnsi="Times New Roman" w:eastAsia="方正仿宋简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简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方正仿宋简体"/>
          <w:kern w:val="0"/>
          <w:sz w:val="32"/>
          <w:szCs w:val="32"/>
        </w:rPr>
        <w:t>日</w:t>
      </w:r>
    </w:p>
    <w:p>
      <w:pPr>
        <w:spacing w:line="570" w:lineRule="exact"/>
      </w:pPr>
      <w:r>
        <w:rPr>
          <w:rFonts w:ascii="Times New Roman" w:hAnsi="Times New Roman" w:eastAsia="方正仿宋简体"/>
          <w:kern w:val="0"/>
          <w:sz w:val="32"/>
          <w:szCs w:val="32"/>
        </w:rPr>
        <w:t>（此件主动公开）</w:t>
      </w:r>
    </w:p>
    <w:p>
      <w:pPr>
        <w:widowControl/>
        <w:spacing w:line="260" w:lineRule="exact"/>
        <w:ind w:firstLine="3255" w:firstLineChars="155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pict>
          <v:line id="_x0000_s1026" o:spid="_x0000_s1026" style="position:absolute;left:0;margin-left:0pt;margin-top:12pt;height:0.05pt;width:441pt;rotation:0f;z-index:251658240;" o:ole="f" fillcolor="#FFFFFF" filled="f" o:preferrelative="t" stroked="t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/>
        <w:spacing w:line="360" w:lineRule="exact"/>
        <w:ind w:left="1121" w:leftChars="134" w:hanging="840" w:hangingChars="300"/>
        <w:rPr>
          <w:rFonts w:ascii="Times New Roman" w:hAnsi="Times New Roman" w:eastAsia="方正仿宋简体"/>
          <w:kern w:val="0"/>
          <w:sz w:val="28"/>
          <w:szCs w:val="28"/>
        </w:rPr>
      </w:pPr>
      <w:r>
        <w:rPr>
          <w:rFonts w:ascii="Times New Roman" w:hAnsi="Times New Roman" w:eastAsia="方正仿宋简体"/>
          <w:kern w:val="0"/>
          <w:sz w:val="28"/>
          <w:szCs w:val="28"/>
        </w:rPr>
        <w:t>抄送：</w:t>
      </w:r>
      <w:r>
        <w:rPr>
          <w:rFonts w:hint="eastAsia" w:ascii="Times New Roman" w:hAnsi="Times New Roman" w:eastAsia="方正仿宋简体"/>
          <w:kern w:val="0"/>
          <w:sz w:val="28"/>
          <w:szCs w:val="28"/>
        </w:rPr>
        <w:t>三明高新技术产业开发区管理委员会，区工信科技局、发改局、应急局，区消防大队，厦门境益佳环保科技有限公司</w:t>
      </w:r>
      <w:r>
        <w:rPr>
          <w:rFonts w:ascii="Times New Roman" w:hAnsi="Times New Roman" w:eastAsia="方正仿宋简体"/>
          <w:kern w:val="0"/>
          <w:sz w:val="28"/>
          <w:szCs w:val="28"/>
        </w:rPr>
        <w:t>。</w:t>
      </w:r>
    </w:p>
    <w:p>
      <w:pPr>
        <w:widowControl/>
        <w:spacing w:line="700" w:lineRule="exact"/>
        <w:ind w:firstLine="210" w:firstLineChars="100"/>
        <w:rPr>
          <w:rFonts w:ascii="Times New Roman" w:hAnsi="Times New Roman" w:eastAsia="方正仿宋简体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pict>
          <v:line id="_x0000_s1027" o:spid="_x0000_s1027" style="position:absolute;left:0;margin-left:0pt;margin-top:39.4pt;height:0.05pt;width:441pt;rotation:0f;z-index:251659264;" o:ole="f" fillcolor="#FFFFFF" filled="f" o:preferrelative="t" stroked="t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pict>
          <v:line id="_x0000_s1028" o:spid="_x0000_s1028" style="position:absolute;left:0;margin-left:0pt;margin-top:7.4pt;height:0.05pt;width:441pt;rotation:0f;z-index:251660288;" o:ole="f" fillcolor="#FFFFFF" filled="f" o:preferrelative="t" stroked="t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方正仿宋简体"/>
          <w:kern w:val="0"/>
          <w:sz w:val="28"/>
          <w:szCs w:val="28"/>
        </w:rPr>
        <w:t xml:space="preserve">三明市生态环境局办公室             </w:t>
      </w:r>
      <w:r>
        <w:rPr>
          <w:rFonts w:hint="eastAsia" w:ascii="Times New Roman" w:hAnsi="Times New Roman" w:eastAsia="方正仿宋简体"/>
          <w:kern w:val="0"/>
          <w:sz w:val="28"/>
          <w:szCs w:val="28"/>
        </w:rPr>
        <w:t>2023</w:t>
      </w:r>
      <w:r>
        <w:rPr>
          <w:rFonts w:ascii="Times New Roman" w:hAnsi="Times New Roman" w:eastAsia="方正仿宋简体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简体"/>
          <w:kern w:val="0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方正仿宋简体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简体"/>
          <w:kern w:val="0"/>
          <w:sz w:val="28"/>
          <w:szCs w:val="28"/>
          <w:lang w:val="en-US" w:eastAsia="zh-CN"/>
        </w:rPr>
        <w:t>29</w:t>
      </w:r>
      <w:r>
        <w:rPr>
          <w:rFonts w:ascii="Times New Roman" w:hAnsi="Times New Roman" w:eastAsia="方正仿宋简体"/>
          <w:kern w:val="0"/>
          <w:sz w:val="28"/>
          <w:szCs w:val="28"/>
        </w:rPr>
        <w:t>日印发</w:t>
      </w:r>
    </w:p>
    <w:sectPr>
      <w:headerReference r:id="rId4" w:type="default"/>
      <w:footerReference r:id="rId5" w:type="default"/>
      <w:footerReference r:id="rId6" w:type="even"/>
      <w:pgSz w:w="11906" w:h="16838"/>
      <w:pgMar w:top="1531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2"/>
      <w:framePr w:wrap="around" w:hAnchor="margin" w:vAnchor="text" w:xAlign="outside" w:y="1"/>
      <w:rPr>
        <w:rStyle w:val="17"/>
        <w:rFonts w:ascii="方正仿宋简体" w:eastAsia="方正仿宋简体"/>
        <w:sz w:val="28"/>
        <w:szCs w:val="28"/>
      </w:rPr>
    </w:pPr>
    <w:r>
      <w:rPr>
        <w:rStyle w:val="17"/>
        <w:rFonts w:ascii="方正仿宋简体" w:eastAsia="方正仿宋简体"/>
        <w:sz w:val="28"/>
        <w:szCs w:val="28"/>
      </w:rPr>
      <w:fldChar w:fldCharType="begin"/>
    </w:r>
    <w:r>
      <w:rPr>
        <w:rStyle w:val="17"/>
        <w:rFonts w:ascii="方正仿宋简体" w:eastAsia="方正仿宋简体"/>
        <w:sz w:val="28"/>
        <w:szCs w:val="28"/>
      </w:rPr>
      <w:instrText xml:space="preserve">PAGE  </w:instrText>
    </w:r>
    <w:r>
      <w:rPr>
        <w:rStyle w:val="17"/>
        <w:rFonts w:ascii="方正仿宋简体" w:eastAsia="方正仿宋简体"/>
        <w:sz w:val="28"/>
        <w:szCs w:val="28"/>
      </w:rPr>
      <w:fldChar w:fldCharType="separate"/>
    </w:r>
    <w:r>
      <w:rPr>
        <w:rStyle w:val="17"/>
        <w:rFonts w:ascii="方正仿宋简体" w:eastAsia="方正仿宋简体"/>
        <w:sz w:val="28"/>
        <w:szCs w:val="28"/>
      </w:rPr>
      <w:t>- 1 -</w:t>
    </w:r>
    <w:r>
      <w:rPr>
        <w:rStyle w:val="17"/>
        <w:rFonts w:ascii="方正仿宋简体" w:eastAsia="方正仿宋简体"/>
        <w:sz w:val="28"/>
        <w:szCs w:val="28"/>
      </w:rPr>
      <w:fldChar w:fldCharType="end"/>
    </w:r>
  </w:p>
  <w:p>
    <w:pPr>
      <w:pStyle w:val="1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2"/>
      <w:framePr w:wrap="around" w:hAnchor="margin" w:vAnchor="text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- 2 -</w:t>
    </w:r>
    <w:r>
      <w:rPr>
        <w:rStyle w:val="17"/>
      </w:rPr>
      <w:fldChar w:fldCharType="end"/>
    </w:r>
  </w:p>
  <w:p>
    <w:pPr>
      <w:pStyle w:val="1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99" w:name="annotation subject"/>
    <w:lsdException w:qFormat="1" w:unhideWhenUsed="0" w:uiPriority="99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35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6">
    <w:name w:val="Default Paragraph Font"/>
    <w:semiHidden/>
    <w:unhideWhenUsed/>
    <w:qFormat/>
    <w:uiPriority w:val="1"/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link w:val="27"/>
    <w:semiHidden/>
    <w:qFormat/>
    <w:uiPriority w:val="99"/>
    <w:pPr>
      <w:widowControl/>
      <w:spacing w:line="450" w:lineRule="atLeast"/>
      <w:ind w:firstLine="480"/>
      <w:jc w:val="left"/>
    </w:pPr>
    <w:rPr>
      <w:rFonts w:ascii="宋体" w:hAnsi="宋体" w:cs="宋体"/>
      <w:spacing w:val="48"/>
      <w:kern w:val="0"/>
      <w:sz w:val="24"/>
      <w:szCs w:val="24"/>
    </w:rPr>
  </w:style>
  <w:style w:type="paragraph" w:styleId="4">
    <w:name w:val="Note Heading"/>
    <w:basedOn w:val="1"/>
    <w:next w:val="1"/>
    <w:qFormat/>
    <w:uiPriority w:val="0"/>
    <w:pPr>
      <w:jc w:val="center"/>
    </w:pPr>
  </w:style>
  <w:style w:type="paragraph" w:styleId="6">
    <w:name w:val="annotation subject"/>
    <w:basedOn w:val="7"/>
    <w:next w:val="7"/>
    <w:link w:val="31"/>
    <w:semiHidden/>
    <w:qFormat/>
    <w:uiPriority w:val="99"/>
    <w:rPr>
      <w:b/>
      <w:bCs/>
    </w:rPr>
  </w:style>
  <w:style w:type="paragraph" w:styleId="7">
    <w:name w:val="annotation text"/>
    <w:basedOn w:val="1"/>
    <w:link w:val="30"/>
    <w:semiHidden/>
    <w:qFormat/>
    <w:uiPriority w:val="99"/>
    <w:pPr>
      <w:jc w:val="left"/>
    </w:pPr>
  </w:style>
  <w:style w:type="paragraph" w:styleId="8">
    <w:name w:val="Body Text Indent"/>
    <w:basedOn w:val="1"/>
    <w:qFormat/>
    <w:uiPriority w:val="0"/>
    <w:pPr>
      <w:snapToGrid w:val="0"/>
      <w:spacing w:line="560" w:lineRule="exact"/>
      <w:ind w:firstLine="600"/>
    </w:pPr>
    <w:rPr>
      <w:rFonts w:ascii="宋体" w:hAnsi="宋体"/>
      <w:color w:val="000000"/>
      <w:sz w:val="30"/>
    </w:rPr>
  </w:style>
  <w:style w:type="paragraph" w:styleId="9">
    <w:name w:val="Date"/>
    <w:basedOn w:val="1"/>
    <w:next w:val="1"/>
    <w:link w:val="34"/>
    <w:qFormat/>
    <w:uiPriority w:val="99"/>
    <w:pPr>
      <w:ind w:left="100" w:leftChars="2500"/>
    </w:pPr>
  </w:style>
  <w:style w:type="paragraph" w:styleId="10">
    <w:name w:val="Body Text Indent 2"/>
    <w:basedOn w:val="1"/>
    <w:link w:val="33"/>
    <w:qFormat/>
    <w:uiPriority w:val="99"/>
    <w:pPr>
      <w:spacing w:after="120" w:line="480" w:lineRule="auto"/>
      <w:ind w:left="420" w:leftChars="200"/>
    </w:pPr>
  </w:style>
  <w:style w:type="paragraph" w:styleId="11">
    <w:name w:val="Balloon Text"/>
    <w:basedOn w:val="1"/>
    <w:link w:val="32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Body Text First Indent 2"/>
    <w:basedOn w:val="8"/>
    <w:next w:val="2"/>
    <w:qFormat/>
    <w:uiPriority w:val="0"/>
    <w:pPr>
      <w:adjustRightInd w:val="0"/>
      <w:spacing w:line="360" w:lineRule="auto"/>
      <w:ind w:firstLine="1044"/>
    </w:pPr>
    <w:rPr>
      <w:rFonts w:ascii="Times New Roman" w:hAnsi="Times New Roman"/>
    </w:rPr>
  </w:style>
  <w:style w:type="paragraph" w:styleId="14">
    <w:name w:val="header"/>
    <w:basedOn w:val="1"/>
    <w:link w:val="2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7">
    <w:name w:val="page number"/>
    <w:basedOn w:val="16"/>
    <w:qFormat/>
    <w:uiPriority w:val="99"/>
    <w:rPr>
      <w:rFonts w:cs="Times New Roman"/>
    </w:rPr>
  </w:style>
  <w:style w:type="character" w:styleId="18">
    <w:name w:val="Emphasis"/>
    <w:basedOn w:val="16"/>
    <w:qFormat/>
    <w:locked/>
    <w:uiPriority w:val="0"/>
    <w:rPr>
      <w:i/>
    </w:rPr>
  </w:style>
  <w:style w:type="character" w:styleId="19">
    <w:name w:val="annotation reference"/>
    <w:basedOn w:val="16"/>
    <w:semiHidden/>
    <w:qFormat/>
    <w:uiPriority w:val="99"/>
    <w:rPr>
      <w:rFonts w:cs="Times New Roman"/>
      <w:sz w:val="21"/>
      <w:szCs w:val="21"/>
    </w:rPr>
  </w:style>
  <w:style w:type="paragraph" w:customStyle="1" w:styleId="20">
    <w:name w:val="正文(首行缩进)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snapToGrid w:val="0"/>
      <w:szCs w:val="24"/>
    </w:rPr>
  </w:style>
  <w:style w:type="paragraph" w:customStyle="1" w:styleId="21">
    <w:name w:val="_Style 2"/>
    <w:basedOn w:val="1"/>
    <w:qFormat/>
    <w:uiPriority w:val="99"/>
    <w:pPr>
      <w:spacing w:line="360" w:lineRule="auto"/>
      <w:ind w:firstLine="200" w:firstLineChars="200"/>
    </w:pPr>
    <w:rPr>
      <w:rFonts w:ascii="Times New Roman" w:hAnsi="Times New Roman"/>
      <w:szCs w:val="24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4">
    <w:name w:val="环评文本"/>
    <w:basedOn w:val="1"/>
    <w:qFormat/>
    <w:uiPriority w:val="0"/>
    <w:pPr>
      <w:spacing w:line="360" w:lineRule="auto"/>
      <w:ind w:firstLine="480" w:firstLineChars="200"/>
    </w:pPr>
    <w:rPr>
      <w:color w:val="000000"/>
      <w:sz w:val="24"/>
    </w:rPr>
  </w:style>
  <w:style w:type="paragraph" w:customStyle="1" w:styleId="25">
    <w:name w:val="0文本"/>
    <w:qFormat/>
    <w:uiPriority w:val="0"/>
    <w:pPr>
      <w:tabs>
        <w:tab w:val="left" w:pos="4500"/>
      </w:tabs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6">
    <w:name w:val="000正文abing(新)"/>
    <w:basedOn w:val="1"/>
    <w:qFormat/>
    <w:uiPriority w:val="0"/>
    <w:pPr>
      <w:widowControl/>
      <w:spacing w:line="440" w:lineRule="exact"/>
      <w:ind w:firstLine="480" w:firstLineChars="200"/>
    </w:pPr>
    <w:rPr>
      <w:rFonts w:eastAsia="Times New Roman"/>
      <w:sz w:val="24"/>
    </w:rPr>
  </w:style>
  <w:style w:type="character" w:customStyle="1" w:styleId="27">
    <w:name w:val="正文文本 Char"/>
    <w:basedOn w:val="16"/>
    <w:link w:val="3"/>
    <w:semiHidden/>
    <w:qFormat/>
    <w:locked/>
    <w:uiPriority w:val="99"/>
    <w:rPr>
      <w:rFonts w:ascii="宋体" w:hAnsi="宋体" w:eastAsia="宋体" w:cs="宋体"/>
      <w:spacing w:val="48"/>
      <w:kern w:val="0"/>
      <w:sz w:val="24"/>
      <w:szCs w:val="24"/>
    </w:rPr>
  </w:style>
  <w:style w:type="character" w:customStyle="1" w:styleId="28">
    <w:name w:val="页眉 Char"/>
    <w:basedOn w:val="16"/>
    <w:link w:val="14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9">
    <w:name w:val="页脚 Char"/>
    <w:basedOn w:val="16"/>
    <w:link w:val="1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0">
    <w:name w:val="批注文字 Char"/>
    <w:basedOn w:val="16"/>
    <w:link w:val="7"/>
    <w:semiHidden/>
    <w:qFormat/>
    <w:locked/>
    <w:uiPriority w:val="99"/>
    <w:rPr>
      <w:rFonts w:cs="Times New Roman"/>
    </w:rPr>
  </w:style>
  <w:style w:type="character" w:customStyle="1" w:styleId="31">
    <w:name w:val="批注主题 Char"/>
    <w:basedOn w:val="30"/>
    <w:link w:val="6"/>
    <w:semiHidden/>
    <w:qFormat/>
    <w:locked/>
    <w:uiPriority w:val="99"/>
    <w:rPr>
      <w:b/>
      <w:bCs/>
    </w:rPr>
  </w:style>
  <w:style w:type="character" w:customStyle="1" w:styleId="32">
    <w:name w:val="批注框文本 Char"/>
    <w:basedOn w:val="16"/>
    <w:link w:val="11"/>
    <w:semiHidden/>
    <w:qFormat/>
    <w:locked/>
    <w:uiPriority w:val="99"/>
    <w:rPr>
      <w:rFonts w:cs="Times New Roman"/>
      <w:sz w:val="2"/>
    </w:rPr>
  </w:style>
  <w:style w:type="character" w:customStyle="1" w:styleId="33">
    <w:name w:val="正文文本缩进 2 Char"/>
    <w:basedOn w:val="16"/>
    <w:link w:val="10"/>
    <w:semiHidden/>
    <w:qFormat/>
    <w:locked/>
    <w:uiPriority w:val="99"/>
    <w:rPr>
      <w:rFonts w:cs="Times New Roman"/>
    </w:rPr>
  </w:style>
  <w:style w:type="character" w:customStyle="1" w:styleId="34">
    <w:name w:val="日期 Char"/>
    <w:basedOn w:val="16"/>
    <w:link w:val="9"/>
    <w:semiHidden/>
    <w:qFormat/>
    <w:locked/>
    <w:uiPriority w:val="99"/>
    <w:rPr>
      <w:rFonts w:cs="Times New Roman"/>
    </w:rPr>
  </w:style>
  <w:style w:type="character" w:customStyle="1" w:styleId="35">
    <w:name w:val="标题 1 Char"/>
    <w:basedOn w:val="16"/>
    <w:link w:val="5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1411</Words>
  <Characters>1452</Characters>
  <Lines>10</Lines>
  <Paragraphs>3</Paragraphs>
  <TotalTime>0</TotalTime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2019-06-04T00:11:00Z</dcterms:created>
  <dc:creator>meiyongjin</dc:creator>
  <cp:lastModifiedBy>Administrator</cp:lastModifiedBy>
  <cp:lastPrinted>2023-03-29T01:02:02Z</cp:lastPrinted>
  <dcterms:modified xsi:type="dcterms:W3CDTF">2023-03-29T01:02:05Z</dcterms:modified>
  <dc:title>沙环函〔2014〕18号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  <property fmtid="{D5CDD505-2E9C-101B-9397-08002B2CF9AE}" pid="3" name="ICV">
    <vt:lpwstr>241D04FCA1F44FD98E8C60CA6F83ED87</vt:lpwstr>
  </property>
</Properties>
</file>