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仿宋_GB2312"/>
          <w:sz w:val="32"/>
        </w:rPr>
      </w:pPr>
    </w:p>
    <w:p>
      <w:pPr>
        <w:jc w:val="right"/>
        <w:rPr>
          <w:rFonts w:ascii="Times New Roman" w:hAnsi="Times New Roman" w:eastAsia="仿宋_GB2312"/>
          <w:sz w:val="32"/>
        </w:rPr>
      </w:pPr>
    </w:p>
    <w:p>
      <w:pPr>
        <w:wordWrap w:val="0"/>
        <w:jc w:val="right"/>
        <w:rPr>
          <w:rFonts w:ascii="Times New Roman" w:hAnsi="Times New Roman" w:eastAsia="方正仿宋简体"/>
          <w:kern w:val="0"/>
          <w:sz w:val="32"/>
          <w:szCs w:val="32"/>
        </w:rPr>
      </w:pPr>
      <w:r>
        <w:rPr>
          <w:rFonts w:hint="eastAsia" w:ascii="Times New Roman" w:hAnsi="Times New Roman" w:eastAsia="方正仿宋简体"/>
          <w:kern w:val="0"/>
          <w:sz w:val="32"/>
          <w:szCs w:val="32"/>
        </w:rPr>
        <w:t>明</w:t>
      </w:r>
      <w:r>
        <w:rPr>
          <w:rFonts w:ascii="Times New Roman" w:hAnsi="Times New Roman" w:eastAsia="方正仿宋简体"/>
          <w:kern w:val="0"/>
          <w:sz w:val="32"/>
          <w:szCs w:val="32"/>
        </w:rPr>
        <w:t>环评沙〔</w:t>
      </w:r>
      <w:r>
        <w:rPr>
          <w:rFonts w:hint="eastAsia" w:ascii="Times New Roman" w:hAnsi="Times New Roman" w:eastAsia="方正仿宋简体"/>
          <w:kern w:val="0"/>
          <w:sz w:val="32"/>
          <w:szCs w:val="32"/>
        </w:rPr>
        <w:t>2023</w:t>
      </w:r>
      <w:r>
        <w:rPr>
          <w:rFonts w:ascii="Times New Roman" w:hAnsi="Times New Roman" w:eastAsia="方正仿宋简体"/>
          <w:kern w:val="0"/>
          <w:sz w:val="32"/>
          <w:szCs w:val="32"/>
        </w:rPr>
        <w:t>〕</w:t>
      </w:r>
      <w:r>
        <w:rPr>
          <w:rFonts w:hint="eastAsia" w:ascii="Times New Roman" w:hAnsi="Times New Roman" w:eastAsia="方正仿宋简体"/>
          <w:kern w:val="0"/>
          <w:sz w:val="32"/>
          <w:szCs w:val="32"/>
        </w:rPr>
        <w:t>1</w:t>
      </w:r>
      <w:r>
        <w:rPr>
          <w:rFonts w:hint="eastAsia" w:ascii="Times New Roman" w:hAnsi="Times New Roman" w:eastAsia="方正仿宋简体"/>
          <w:kern w:val="0"/>
          <w:sz w:val="32"/>
          <w:szCs w:val="32"/>
          <w:lang w:val="en-US" w:eastAsia="zh-CN"/>
        </w:rPr>
        <w:t>9</w:t>
      </w:r>
      <w:r>
        <w:rPr>
          <w:rFonts w:ascii="Times New Roman" w:hAnsi="Times New Roman" w:eastAsia="方正仿宋简体"/>
          <w:kern w:val="0"/>
          <w:sz w:val="32"/>
          <w:szCs w:val="32"/>
        </w:rPr>
        <w:t>号</w:t>
      </w:r>
    </w:p>
    <w:p>
      <w:pPr>
        <w:spacing w:line="500" w:lineRule="exact"/>
        <w:rPr>
          <w:rFonts w:ascii="Times New Roman" w:hAnsi="Times New Roman" w:eastAsia="仿宋_GB2312"/>
          <w:kern w:val="0"/>
          <w:sz w:val="32"/>
          <w:szCs w:val="32"/>
        </w:rPr>
      </w:pPr>
    </w:p>
    <w:p>
      <w:pPr>
        <w:spacing w:line="700" w:lineRule="exact"/>
        <w:jc w:val="center"/>
        <w:rPr>
          <w:rFonts w:ascii="Times New Roman" w:hAnsi="Times New Roman" w:eastAsia="方正小标宋简体"/>
          <w:kern w:val="0"/>
          <w:sz w:val="44"/>
          <w:szCs w:val="44"/>
        </w:rPr>
      </w:pPr>
      <w:r>
        <w:rPr>
          <w:rFonts w:ascii="Times New Roman" w:hAnsi="Times New Roman" w:eastAsia="方正小标宋简体"/>
          <w:kern w:val="0"/>
          <w:sz w:val="44"/>
          <w:szCs w:val="44"/>
        </w:rPr>
        <w:t>三明市生态环境局</w:t>
      </w:r>
    </w:p>
    <w:p>
      <w:pPr>
        <w:spacing w:line="700" w:lineRule="exact"/>
        <w:jc w:val="center"/>
        <w:rPr>
          <w:rFonts w:ascii="Times New Roman" w:hAnsi="Times New Roman" w:eastAsia="方正仿宋_GBK"/>
          <w:kern w:val="0"/>
          <w:sz w:val="32"/>
          <w:szCs w:val="32"/>
        </w:rPr>
      </w:pPr>
      <w:r>
        <w:rPr>
          <w:rFonts w:ascii="Times New Roman" w:hAnsi="Times New Roman" w:eastAsia="方正小标宋简体"/>
          <w:kern w:val="0"/>
          <w:sz w:val="44"/>
          <w:szCs w:val="44"/>
        </w:rPr>
        <w:t>关于</w:t>
      </w:r>
      <w:r>
        <w:rPr>
          <w:rFonts w:hint="eastAsia" w:ascii="Times New Roman" w:hAnsi="Times New Roman" w:eastAsia="方正小标宋简体"/>
          <w:kern w:val="0"/>
          <w:sz w:val="44"/>
          <w:szCs w:val="44"/>
        </w:rPr>
        <w:t>福建国电风力发电有限公司国能集团沙县富口镇30MW渔光互补光伏发电项目</w:t>
      </w:r>
      <w:r>
        <w:rPr>
          <w:rFonts w:ascii="Times New Roman" w:hAnsi="Times New Roman" w:eastAsia="方正小标宋简体"/>
          <w:kern w:val="0"/>
          <w:sz w:val="44"/>
          <w:szCs w:val="44"/>
        </w:rPr>
        <w:t>环境影响</w:t>
      </w:r>
      <w:r>
        <w:rPr>
          <w:rFonts w:hint="eastAsia" w:ascii="Times New Roman" w:hAnsi="Times New Roman" w:eastAsia="方正小标宋简体"/>
          <w:kern w:val="0"/>
          <w:sz w:val="44"/>
          <w:szCs w:val="44"/>
        </w:rPr>
        <w:t>报告表</w:t>
      </w:r>
      <w:r>
        <w:rPr>
          <w:rFonts w:ascii="Times New Roman" w:hAnsi="Times New Roman" w:eastAsia="方正小标宋简体"/>
          <w:kern w:val="0"/>
          <w:sz w:val="44"/>
          <w:szCs w:val="44"/>
        </w:rPr>
        <w:t>的批复</w:t>
      </w:r>
    </w:p>
    <w:p>
      <w:pPr>
        <w:widowControl/>
        <w:spacing w:line="600" w:lineRule="exact"/>
        <w:rPr>
          <w:rFonts w:ascii="Times New Roman" w:hAnsi="Times New Roman" w:eastAsia="方正仿宋简体"/>
          <w:kern w:val="0"/>
          <w:sz w:val="32"/>
          <w:szCs w:val="32"/>
        </w:rPr>
      </w:pPr>
    </w:p>
    <w:p>
      <w:pPr>
        <w:widowControl/>
        <w:spacing w:line="570" w:lineRule="exact"/>
        <w:rPr>
          <w:rFonts w:ascii="Times New Roman" w:hAnsi="Times New Roman" w:eastAsia="方正仿宋简体"/>
          <w:kern w:val="0"/>
          <w:sz w:val="32"/>
          <w:szCs w:val="32"/>
        </w:rPr>
      </w:pPr>
      <w:r>
        <w:rPr>
          <w:rFonts w:hint="eastAsia" w:ascii="Times New Roman" w:hAnsi="Times New Roman" w:eastAsia="方正仿宋简体"/>
          <w:kern w:val="0"/>
          <w:sz w:val="32"/>
          <w:szCs w:val="32"/>
        </w:rPr>
        <w:t>福建国电风力发电有限公司</w:t>
      </w:r>
      <w:r>
        <w:rPr>
          <w:rFonts w:ascii="Times New Roman" w:hAnsi="Times New Roman" w:eastAsia="方正仿宋简体"/>
          <w:kern w:val="0"/>
          <w:sz w:val="32"/>
          <w:szCs w:val="32"/>
        </w:rPr>
        <w:t>：</w:t>
      </w:r>
    </w:p>
    <w:p>
      <w:pPr>
        <w:widowControl/>
        <w:spacing w:line="570" w:lineRule="exact"/>
        <w:ind w:firstLine="630"/>
        <w:rPr>
          <w:rFonts w:ascii="Times New Roman" w:hAnsi="Times New Roman" w:eastAsia="方正仿宋简体"/>
          <w:kern w:val="0"/>
          <w:sz w:val="32"/>
          <w:szCs w:val="32"/>
        </w:rPr>
      </w:pPr>
      <w:r>
        <w:rPr>
          <w:rFonts w:hint="eastAsia" w:ascii="Times New Roman" w:hAnsi="Times New Roman" w:eastAsia="方正仿宋简体"/>
          <w:kern w:val="0"/>
          <w:sz w:val="32"/>
          <w:szCs w:val="32"/>
        </w:rPr>
        <w:t>你公司报送的</w:t>
      </w:r>
      <w:r>
        <w:rPr>
          <w:rFonts w:ascii="Times New Roman" w:hAnsi="Times New Roman" w:eastAsia="方正仿宋简体"/>
          <w:kern w:val="0"/>
          <w:sz w:val="32"/>
          <w:szCs w:val="32"/>
        </w:rPr>
        <w:t>《</w:t>
      </w:r>
      <w:r>
        <w:rPr>
          <w:rFonts w:hint="eastAsia" w:ascii="Times New Roman" w:hAnsi="Times New Roman" w:eastAsia="方正仿宋简体"/>
          <w:kern w:val="0"/>
          <w:sz w:val="32"/>
          <w:szCs w:val="32"/>
          <w:lang w:eastAsia="zh-CN"/>
        </w:rPr>
        <w:t>福建国电风力发电有限公司国能集团沙县富口镇30MW渔光互补光伏发电项目</w:t>
      </w:r>
      <w:r>
        <w:rPr>
          <w:rFonts w:hint="eastAsia" w:ascii="Times New Roman" w:hAnsi="Times New Roman" w:eastAsia="方正仿宋简体"/>
          <w:kern w:val="0"/>
          <w:sz w:val="32"/>
          <w:szCs w:val="32"/>
        </w:rPr>
        <w:t>环境影响报告表</w:t>
      </w:r>
      <w:r>
        <w:rPr>
          <w:rFonts w:ascii="Times New Roman" w:hAnsi="Times New Roman" w:eastAsia="方正仿宋简体"/>
          <w:kern w:val="0"/>
          <w:sz w:val="32"/>
          <w:szCs w:val="32"/>
        </w:rPr>
        <w:t>》（以下简称“</w:t>
      </w:r>
      <w:r>
        <w:rPr>
          <w:rFonts w:hint="eastAsia" w:ascii="Times New Roman" w:hAnsi="Times New Roman" w:eastAsia="方正仿宋简体"/>
          <w:kern w:val="0"/>
          <w:sz w:val="32"/>
          <w:szCs w:val="32"/>
        </w:rPr>
        <w:t>报告表</w:t>
      </w:r>
      <w:r>
        <w:rPr>
          <w:rFonts w:ascii="Times New Roman" w:hAnsi="Times New Roman" w:eastAsia="方正仿宋简体"/>
          <w:kern w:val="0"/>
          <w:sz w:val="32"/>
          <w:szCs w:val="32"/>
        </w:rPr>
        <w:t>”）</w:t>
      </w:r>
      <w:r>
        <w:rPr>
          <w:rFonts w:hint="eastAsia" w:ascii="Times New Roman" w:hAnsi="Times New Roman" w:eastAsia="方正仿宋简体"/>
          <w:kern w:val="0"/>
          <w:sz w:val="32"/>
          <w:szCs w:val="32"/>
        </w:rPr>
        <w:t>和申请审批的函收悉。我局于2023年</w:t>
      </w:r>
      <w:r>
        <w:rPr>
          <w:rFonts w:hint="eastAsia" w:ascii="Times New Roman" w:hAnsi="Times New Roman" w:eastAsia="方正仿宋简体"/>
          <w:kern w:val="0"/>
          <w:sz w:val="32"/>
          <w:szCs w:val="32"/>
          <w:lang w:val="en-US" w:eastAsia="zh-CN"/>
        </w:rPr>
        <w:t>12</w:t>
      </w:r>
      <w:r>
        <w:rPr>
          <w:rFonts w:hint="eastAsia" w:ascii="Times New Roman" w:hAnsi="Times New Roman" w:eastAsia="方正仿宋简体"/>
          <w:kern w:val="0"/>
          <w:sz w:val="32"/>
          <w:szCs w:val="32"/>
        </w:rPr>
        <w:t>月</w:t>
      </w:r>
      <w:r>
        <w:rPr>
          <w:rFonts w:hint="eastAsia" w:ascii="Times New Roman" w:hAnsi="Times New Roman" w:eastAsia="方正仿宋简体"/>
          <w:kern w:val="0"/>
          <w:sz w:val="32"/>
          <w:szCs w:val="32"/>
          <w:lang w:val="en-US" w:eastAsia="zh-CN"/>
        </w:rPr>
        <w:t>7</w:t>
      </w:r>
      <w:r>
        <w:rPr>
          <w:rFonts w:hint="eastAsia" w:ascii="Times New Roman" w:hAnsi="Times New Roman" w:eastAsia="方正仿宋简体"/>
          <w:kern w:val="0"/>
          <w:sz w:val="32"/>
          <w:szCs w:val="32"/>
        </w:rPr>
        <w:t>日受理该报告表的审批申请，在沙县区人民政府门户网站对受理情况进行公开，并将报告表全本公示；于2023年12月</w:t>
      </w:r>
      <w:r>
        <w:rPr>
          <w:rFonts w:hint="eastAsia" w:ascii="Times New Roman" w:hAnsi="Times New Roman" w:eastAsia="方正仿宋简体"/>
          <w:kern w:val="0"/>
          <w:sz w:val="32"/>
          <w:szCs w:val="32"/>
          <w:lang w:val="en-US" w:eastAsia="zh-CN"/>
        </w:rPr>
        <w:t>21</w:t>
      </w:r>
      <w:r>
        <w:rPr>
          <w:rFonts w:hint="eastAsia" w:ascii="Times New Roman" w:hAnsi="Times New Roman" w:eastAsia="方正仿宋简体"/>
          <w:kern w:val="0"/>
          <w:sz w:val="32"/>
          <w:szCs w:val="32"/>
        </w:rPr>
        <w:t>日在沙县区人民政府门户网站对报告表拟作出的审批意见进行公开；上述公示、公开期间，我局未收到关于本报告表的意见。经研究，对该项目环境影响报告表批复如下：</w:t>
      </w:r>
    </w:p>
    <w:p>
      <w:pPr>
        <w:spacing w:line="570" w:lineRule="exact"/>
        <w:ind w:firstLine="640"/>
        <w:rPr>
          <w:rFonts w:ascii="Times New Roman" w:hAnsi="Times New Roman" w:eastAsia="方正仿宋简体"/>
          <w:sz w:val="32"/>
          <w:szCs w:val="32"/>
        </w:rPr>
      </w:pPr>
      <w:r>
        <w:rPr>
          <w:rFonts w:hint="eastAsia" w:ascii="方正黑体简体" w:hAnsi="方正黑体简体" w:eastAsia="方正黑体简体" w:cs="方正黑体简体"/>
          <w:sz w:val="32"/>
          <w:szCs w:val="32"/>
        </w:rPr>
        <w:t>一、</w:t>
      </w:r>
      <w:r>
        <w:rPr>
          <w:rFonts w:hint="eastAsia" w:ascii="Times New Roman" w:hAnsi="Times New Roman" w:eastAsia="方正仿宋简体"/>
          <w:sz w:val="32"/>
          <w:szCs w:val="32"/>
        </w:rPr>
        <w:t>拟建项目选址于福建省三明市沙县富口镇姜后村，</w:t>
      </w:r>
      <w:r>
        <w:rPr>
          <w:rFonts w:hint="eastAsia" w:ascii="Times New Roman" w:hAnsi="Times New Roman" w:eastAsia="方正仿宋简体"/>
          <w:sz w:val="32"/>
          <w:szCs w:val="32"/>
          <w:lang w:eastAsia="zh-CN"/>
        </w:rPr>
        <w:t>项目</w:t>
      </w:r>
      <w:r>
        <w:rPr>
          <w:rFonts w:hint="eastAsia" w:ascii="Times New Roman" w:hAnsi="Times New Roman" w:eastAsia="方正仿宋简体"/>
          <w:sz w:val="32"/>
          <w:szCs w:val="32"/>
        </w:rPr>
        <w:t>利用三明市沙县区国营综合农场有限公司鱼塘区域建设30MW“渔光互补”集中式光伏发电项目，项目总规模282117平方米，包含光伏配套110KV升压站，建设用地面积3188平方米；光伏阵列区域，面积278929平方米</w:t>
      </w:r>
      <w:r>
        <w:rPr>
          <w:rFonts w:ascii="Times New Roman" w:hAnsi="Times New Roman" w:eastAsia="方正仿宋简体"/>
          <w:sz w:val="32"/>
          <w:szCs w:val="32"/>
        </w:rPr>
        <w:t>。根据</w:t>
      </w:r>
      <w:r>
        <w:rPr>
          <w:rFonts w:hint="eastAsia" w:ascii="Times New Roman" w:hAnsi="Times New Roman" w:eastAsia="方正仿宋简体"/>
          <w:sz w:val="32"/>
          <w:szCs w:val="32"/>
        </w:rPr>
        <w:t>报告表</w:t>
      </w:r>
      <w:r>
        <w:rPr>
          <w:rFonts w:ascii="Times New Roman" w:hAnsi="Times New Roman" w:eastAsia="方正仿宋简体"/>
          <w:sz w:val="32"/>
          <w:szCs w:val="32"/>
        </w:rPr>
        <w:t>评价结论，在全面落实</w:t>
      </w:r>
      <w:r>
        <w:rPr>
          <w:rFonts w:hint="eastAsia" w:ascii="Times New Roman" w:hAnsi="Times New Roman" w:eastAsia="方正仿宋简体"/>
          <w:sz w:val="32"/>
          <w:szCs w:val="32"/>
        </w:rPr>
        <w:t>报告表</w:t>
      </w:r>
      <w:r>
        <w:rPr>
          <w:rFonts w:ascii="Times New Roman" w:hAnsi="Times New Roman" w:eastAsia="方正仿宋简体"/>
          <w:sz w:val="32"/>
          <w:szCs w:val="32"/>
        </w:rPr>
        <w:t>提出的各项污染防治措施的前提下，该项目建设对环境的不利影响能够得到缓解和控制。因此，在</w:t>
      </w:r>
      <w:r>
        <w:rPr>
          <w:rFonts w:hint="eastAsia" w:ascii="Times New Roman" w:hAnsi="Times New Roman" w:eastAsia="方正仿宋简体"/>
          <w:sz w:val="32"/>
          <w:szCs w:val="32"/>
        </w:rPr>
        <w:t>你公司</w:t>
      </w:r>
      <w:r>
        <w:rPr>
          <w:rFonts w:ascii="Times New Roman" w:hAnsi="Times New Roman" w:eastAsia="方正仿宋简体"/>
          <w:sz w:val="32"/>
          <w:szCs w:val="32"/>
        </w:rPr>
        <w:t>取得其它相关行政许可的前提下，我局从环境保护方面同意</w:t>
      </w:r>
      <w:r>
        <w:rPr>
          <w:rFonts w:hint="eastAsia" w:ascii="Times New Roman" w:hAnsi="Times New Roman" w:eastAsia="方正仿宋简体"/>
          <w:sz w:val="32"/>
          <w:szCs w:val="32"/>
        </w:rPr>
        <w:t>报告表中所列建设项目的性质、规模、地点、采用的生产工艺、环境保护对策措施。</w:t>
      </w:r>
    </w:p>
    <w:p>
      <w:pPr>
        <w:spacing w:line="570" w:lineRule="exact"/>
        <w:ind w:firstLine="640"/>
        <w:rPr>
          <w:rFonts w:ascii="Times New Roman" w:hAnsi="Times New Roman" w:eastAsia="方正仿宋简体"/>
          <w:sz w:val="32"/>
          <w:szCs w:val="32"/>
        </w:rPr>
      </w:pPr>
      <w:r>
        <w:rPr>
          <w:rFonts w:hint="eastAsia" w:ascii="方正黑体简体" w:hAnsi="方正黑体简体" w:eastAsia="方正黑体简体" w:cs="方正黑体简体"/>
          <w:sz w:val="32"/>
          <w:szCs w:val="32"/>
        </w:rPr>
        <w:t>二、</w:t>
      </w:r>
      <w:r>
        <w:rPr>
          <w:rFonts w:hint="eastAsia" w:ascii="Times New Roman" w:hAnsi="Times New Roman" w:eastAsia="方正仿宋简体"/>
          <w:sz w:val="32"/>
          <w:szCs w:val="32"/>
        </w:rPr>
        <w:t>项目建设须符合</w:t>
      </w:r>
      <w:r>
        <w:rPr>
          <w:rFonts w:ascii="Times New Roman" w:hAnsi="Times New Roman" w:eastAsia="方正仿宋简体"/>
          <w:sz w:val="32"/>
          <w:szCs w:val="32"/>
        </w:rPr>
        <w:t>《三明市“三线一单”生态环境分区管控方案》</w:t>
      </w:r>
      <w:r>
        <w:rPr>
          <w:rFonts w:hint="eastAsia" w:ascii="Times New Roman" w:hAnsi="Times New Roman" w:eastAsia="方正仿宋简体"/>
          <w:sz w:val="32"/>
          <w:szCs w:val="32"/>
        </w:rPr>
        <w:t>、国家产业政策和规划要求。</w:t>
      </w:r>
    </w:p>
    <w:p>
      <w:pPr>
        <w:spacing w:line="570" w:lineRule="exact"/>
        <w:ind w:firstLine="640"/>
        <w:rPr>
          <w:rFonts w:ascii="Times New Roman" w:hAnsi="Times New Roman" w:eastAsia="方正仿宋简体"/>
          <w:sz w:val="32"/>
          <w:szCs w:val="32"/>
        </w:rPr>
      </w:pPr>
      <w:r>
        <w:rPr>
          <w:rFonts w:hint="eastAsia" w:ascii="方正黑体简体" w:hAnsi="方正黑体简体" w:eastAsia="方正黑体简体" w:cs="方正黑体简体"/>
          <w:sz w:val="32"/>
          <w:szCs w:val="32"/>
        </w:rPr>
        <w:t>三、</w:t>
      </w:r>
      <w:r>
        <w:rPr>
          <w:rFonts w:hint="eastAsia" w:ascii="Times New Roman" w:hAnsi="Times New Roman" w:eastAsia="方正仿宋简体"/>
          <w:sz w:val="32"/>
          <w:szCs w:val="32"/>
        </w:rPr>
        <w:t>在项目工程设计、建设和环境管理中，你公司必须严格落实报告表提出的各项环保要求，确保其污染物达标排放</w:t>
      </w:r>
      <w:r>
        <w:rPr>
          <w:rFonts w:hint="eastAsia" w:ascii="Times New Roman" w:hAnsi="Times New Roman" w:eastAsia="方正仿宋简体"/>
          <w:sz w:val="32"/>
          <w:szCs w:val="32"/>
          <w:lang w:eastAsia="zh-CN"/>
        </w:rPr>
        <w:t>，</w:t>
      </w:r>
      <w:r>
        <w:rPr>
          <w:rFonts w:hint="eastAsia" w:ascii="Times New Roman" w:hAnsi="Times New Roman" w:eastAsia="方正仿宋简体"/>
          <w:sz w:val="32"/>
          <w:szCs w:val="32"/>
        </w:rPr>
        <w:t>不得对周边环境产生影响，并着重做好以下工作：</w:t>
      </w:r>
    </w:p>
    <w:p>
      <w:pPr>
        <w:spacing w:line="570" w:lineRule="exact"/>
        <w:ind w:firstLine="640"/>
        <w:rPr>
          <w:rFonts w:ascii="Times New Roman" w:hAnsi="Times New Roman" w:eastAsia="方正仿宋简体"/>
          <w:sz w:val="32"/>
          <w:szCs w:val="32"/>
        </w:rPr>
      </w:pPr>
      <w:r>
        <w:rPr>
          <w:rFonts w:hint="eastAsia" w:ascii="Times New Roman" w:hAnsi="Times New Roman" w:eastAsia="方正仿宋简体"/>
          <w:sz w:val="32"/>
          <w:szCs w:val="32"/>
        </w:rPr>
        <w:t>㈠加强施工期污染防治。施工期应做到</w:t>
      </w:r>
      <w:r>
        <w:rPr>
          <w:rFonts w:ascii="Times New Roman" w:hAnsi="Times New Roman" w:eastAsia="方正仿宋简体"/>
          <w:sz w:val="32"/>
          <w:szCs w:val="32"/>
        </w:rPr>
        <w:t>科学、合理施工，并按</w:t>
      </w:r>
      <w:r>
        <w:rPr>
          <w:rFonts w:hint="eastAsia" w:ascii="Times New Roman" w:hAnsi="Times New Roman" w:eastAsia="方正仿宋简体"/>
          <w:sz w:val="32"/>
          <w:szCs w:val="32"/>
        </w:rPr>
        <w:t>报告表</w:t>
      </w:r>
      <w:r>
        <w:rPr>
          <w:rFonts w:ascii="Times New Roman" w:hAnsi="Times New Roman" w:eastAsia="方正仿宋简体"/>
          <w:sz w:val="32"/>
          <w:szCs w:val="32"/>
        </w:rPr>
        <w:t>的要求采取措施，防止施工期粉尘、噪声、废水以及施工垃圾污染。</w:t>
      </w:r>
    </w:p>
    <w:p>
      <w:pPr>
        <w:widowControl/>
        <w:spacing w:line="570" w:lineRule="exact"/>
        <w:ind w:firstLine="630"/>
        <w:rPr>
          <w:rFonts w:hint="eastAsia" w:ascii="Times New Roman" w:hAnsi="Times New Roman" w:eastAsia="方正仿宋简体"/>
          <w:sz w:val="32"/>
          <w:szCs w:val="32"/>
          <w:lang w:eastAsia="zh-CN"/>
        </w:rPr>
      </w:pPr>
      <w:r>
        <w:rPr>
          <w:rFonts w:hint="eastAsia" w:ascii="Times New Roman" w:hAnsi="Times New Roman" w:eastAsia="方正仿宋简体"/>
          <w:sz w:val="32"/>
          <w:szCs w:val="32"/>
        </w:rPr>
        <w:t>㈡</w:t>
      </w:r>
      <w:r>
        <w:rPr>
          <w:rFonts w:hint="eastAsia" w:ascii="Times New Roman" w:hAnsi="Times New Roman" w:eastAsia="方正仿宋简体"/>
          <w:sz w:val="32"/>
          <w:szCs w:val="32"/>
          <w:lang w:eastAsia="zh-CN"/>
        </w:rPr>
        <w:t>加强生态环境保护。加强对地埋电缆沿线裸露地表进行植被恢复，确保恢复原有地貌；严禁向河流排放污染物，及时清理废太阳能组件及废支架；采用最佳安装倾角最大程度地减少对太阳光的反射；太阳能电池组件产品的表面设计要求最大程度减少对光的反射，提高发电效率。</w:t>
      </w:r>
    </w:p>
    <w:p>
      <w:pPr>
        <w:widowControl/>
        <w:spacing w:line="570" w:lineRule="exact"/>
        <w:ind w:firstLine="630"/>
        <w:rPr>
          <w:rFonts w:hint="eastAsia" w:ascii="Times New Roman" w:hAnsi="Times New Roman" w:eastAsia="方正仿宋简体"/>
          <w:sz w:val="32"/>
          <w:szCs w:val="32"/>
          <w:lang w:eastAsia="zh-CN"/>
        </w:rPr>
      </w:pPr>
      <w:r>
        <w:rPr>
          <w:rFonts w:ascii="Times New Roman" w:hAnsi="Times New Roman" w:eastAsia="方正仿宋简体"/>
          <w:sz w:val="32"/>
          <w:szCs w:val="32"/>
        </w:rPr>
        <w:t>㈢</w:t>
      </w:r>
      <w:r>
        <w:rPr>
          <w:rFonts w:hint="eastAsia" w:ascii="Times New Roman" w:hAnsi="Times New Roman" w:eastAsia="方正仿宋简体"/>
          <w:sz w:val="32"/>
          <w:szCs w:val="32"/>
          <w:lang w:eastAsia="zh-CN"/>
        </w:rPr>
        <w:t>加强水污染防治。</w:t>
      </w:r>
      <w:r>
        <w:rPr>
          <w:rFonts w:hint="eastAsia" w:ascii="Times New Roman" w:hAnsi="Times New Roman" w:eastAsia="方正仿宋简体"/>
          <w:sz w:val="32"/>
          <w:szCs w:val="32"/>
        </w:rPr>
        <w:t>光伏面板清洗废水用于面板下方绿化，</w:t>
      </w:r>
      <w:r>
        <w:rPr>
          <w:rFonts w:hint="eastAsia" w:ascii="Times New Roman" w:hAnsi="Times New Roman" w:eastAsia="方正仿宋简体"/>
          <w:sz w:val="32"/>
          <w:szCs w:val="32"/>
          <w:lang w:eastAsia="zh-CN"/>
        </w:rPr>
        <w:t>不外排；</w:t>
      </w:r>
      <w:r>
        <w:rPr>
          <w:rFonts w:hint="eastAsia" w:ascii="Times New Roman" w:hAnsi="Times New Roman" w:eastAsia="方正仿宋简体"/>
          <w:sz w:val="32"/>
          <w:szCs w:val="32"/>
        </w:rPr>
        <w:t>巡检人员生活污水由化粪池处理后用于周边农田施肥，不外排</w:t>
      </w:r>
      <w:r>
        <w:rPr>
          <w:rFonts w:hint="eastAsia" w:ascii="Times New Roman" w:hAnsi="Times New Roman" w:eastAsia="方正仿宋简体"/>
          <w:sz w:val="32"/>
          <w:szCs w:val="32"/>
          <w:lang w:eastAsia="zh-CN"/>
        </w:rPr>
        <w:t>。</w:t>
      </w:r>
    </w:p>
    <w:p>
      <w:pPr>
        <w:widowControl/>
        <w:spacing w:line="570" w:lineRule="exact"/>
        <w:ind w:firstLine="630"/>
        <w:rPr>
          <w:rFonts w:hint="eastAsia" w:ascii="Times New Roman" w:hAnsi="Times New Roman" w:eastAsia="方正仿宋简体"/>
          <w:sz w:val="32"/>
          <w:szCs w:val="32"/>
          <w:lang w:eastAsia="zh-CN"/>
        </w:rPr>
      </w:pPr>
      <w:r>
        <w:rPr>
          <w:rFonts w:ascii="Times New Roman" w:hAnsi="Times New Roman" w:eastAsia="方正仿宋简体"/>
          <w:sz w:val="32"/>
          <w:szCs w:val="32"/>
        </w:rPr>
        <w:t>㈣加强噪声污染防治。</w:t>
      </w:r>
      <w:r>
        <w:rPr>
          <w:rFonts w:hint="eastAsia" w:ascii="Times New Roman" w:hAnsi="Times New Roman" w:eastAsia="方正仿宋简体"/>
          <w:sz w:val="32"/>
          <w:szCs w:val="32"/>
        </w:rPr>
        <w:t>站内变压器等主要噪声设备尽可能布置在站址中央区域或远离站外居民住宅区等噪声敏感建筑物</w:t>
      </w:r>
      <w:r>
        <w:rPr>
          <w:rFonts w:hint="eastAsia" w:ascii="Times New Roman" w:hAnsi="Times New Roman" w:eastAsia="方正仿宋简体"/>
          <w:sz w:val="32"/>
          <w:szCs w:val="32"/>
          <w:lang w:eastAsia="zh-CN"/>
        </w:rPr>
        <w:t>；</w:t>
      </w:r>
      <w:r>
        <w:rPr>
          <w:rFonts w:hint="eastAsia" w:ascii="Times New Roman" w:hAnsi="Times New Roman" w:eastAsia="方正仿宋简体"/>
          <w:sz w:val="32"/>
          <w:szCs w:val="32"/>
        </w:rPr>
        <w:t>应优先选用低噪声设备，合理布局，加强设备的日常维护管理，确保噪声达标</w:t>
      </w:r>
      <w:r>
        <w:rPr>
          <w:rFonts w:hint="eastAsia" w:ascii="Times New Roman" w:hAnsi="Times New Roman" w:eastAsia="方正仿宋简体"/>
          <w:sz w:val="32"/>
          <w:szCs w:val="32"/>
          <w:lang w:eastAsia="zh-CN"/>
        </w:rPr>
        <w:t>。</w:t>
      </w:r>
    </w:p>
    <w:p>
      <w:pPr>
        <w:widowControl/>
        <w:spacing w:line="570" w:lineRule="exact"/>
        <w:ind w:firstLine="630"/>
        <w:rPr>
          <w:rFonts w:hint="eastAsia" w:ascii="Times New Roman" w:hAnsi="Times New Roman" w:eastAsia="方正仿宋简体"/>
          <w:sz w:val="32"/>
          <w:szCs w:val="32"/>
          <w:lang w:eastAsia="zh-CN"/>
        </w:rPr>
      </w:pPr>
      <w:r>
        <w:rPr>
          <w:rFonts w:hint="eastAsia" w:ascii="Times New Roman" w:hAnsi="Times New Roman" w:eastAsia="方正仿宋简体"/>
          <w:sz w:val="32"/>
          <w:szCs w:val="32"/>
          <w:lang w:eastAsia="zh-CN"/>
        </w:rPr>
        <w:t>㈤</w:t>
      </w:r>
      <w:r>
        <w:rPr>
          <w:rFonts w:ascii="Times New Roman" w:hAnsi="Times New Roman" w:eastAsia="方正仿宋简体"/>
          <w:sz w:val="32"/>
          <w:szCs w:val="32"/>
        </w:rPr>
        <w:t>加强固体废物污染防</w:t>
      </w:r>
      <w:r>
        <w:rPr>
          <w:rFonts w:hint="eastAsia" w:ascii="Times New Roman" w:hAnsi="Times New Roman" w:eastAsia="方正仿宋简体"/>
          <w:sz w:val="32"/>
          <w:szCs w:val="32"/>
        </w:rPr>
        <w:t>治。变电站运行期安保值守人员、巡视人员和临时检修人员产生少量的生活垃圾经垃圾箱收集后，交由环卫部门清运处理；废太阳能电池组件、储能系统的废锂电池</w:t>
      </w:r>
      <w:r>
        <w:rPr>
          <w:rFonts w:hint="eastAsia" w:ascii="Times New Roman" w:hAnsi="Times New Roman" w:eastAsia="方正仿宋简体"/>
          <w:sz w:val="32"/>
          <w:szCs w:val="32"/>
          <w:lang w:eastAsia="zh-CN"/>
        </w:rPr>
        <w:t>经</w:t>
      </w:r>
      <w:r>
        <w:rPr>
          <w:rFonts w:hint="eastAsia" w:ascii="Times New Roman" w:hAnsi="Times New Roman" w:eastAsia="方正仿宋简体"/>
          <w:sz w:val="32"/>
          <w:szCs w:val="32"/>
        </w:rPr>
        <w:t>收集后</w:t>
      </w:r>
      <w:r>
        <w:rPr>
          <w:rFonts w:hint="eastAsia" w:ascii="Times New Roman" w:hAnsi="Times New Roman" w:eastAsia="方正仿宋简体"/>
          <w:sz w:val="32"/>
          <w:szCs w:val="32"/>
          <w:lang w:eastAsia="zh-CN"/>
        </w:rPr>
        <w:t>合理处置；</w:t>
      </w:r>
      <w:r>
        <w:rPr>
          <w:rFonts w:hint="eastAsia" w:ascii="Times New Roman" w:hAnsi="Times New Roman" w:eastAsia="方正仿宋简体"/>
          <w:sz w:val="32"/>
          <w:szCs w:val="32"/>
        </w:rPr>
        <w:t>废变压器油、更换下的废铅蓄电池</w:t>
      </w:r>
      <w:r>
        <w:rPr>
          <w:rFonts w:hint="eastAsia" w:ascii="Times New Roman" w:hAnsi="Times New Roman" w:eastAsia="方正仿宋简体"/>
          <w:sz w:val="32"/>
          <w:szCs w:val="32"/>
          <w:lang w:eastAsia="zh-CN"/>
        </w:rPr>
        <w:t>经</w:t>
      </w:r>
      <w:r>
        <w:rPr>
          <w:rFonts w:hint="eastAsia" w:ascii="Times New Roman" w:hAnsi="Times New Roman" w:eastAsia="方正仿宋简体"/>
          <w:sz w:val="32"/>
          <w:szCs w:val="32"/>
        </w:rPr>
        <w:t>收集后采用密封容器统一封装并暂存于危废间，由有资质的单位处理</w:t>
      </w:r>
      <w:r>
        <w:rPr>
          <w:rFonts w:hint="eastAsia" w:ascii="Times New Roman" w:hAnsi="Times New Roman" w:eastAsia="方正仿宋简体"/>
          <w:sz w:val="32"/>
          <w:szCs w:val="32"/>
          <w:lang w:eastAsia="zh-CN"/>
        </w:rPr>
        <w:t>。</w:t>
      </w:r>
    </w:p>
    <w:p>
      <w:pPr>
        <w:widowControl/>
        <w:spacing w:line="570" w:lineRule="exact"/>
        <w:ind w:firstLine="630"/>
        <w:rPr>
          <w:rFonts w:ascii="Times New Roman" w:hAnsi="Times New Roman" w:eastAsia="方正仿宋简体"/>
          <w:sz w:val="32"/>
          <w:szCs w:val="32"/>
        </w:rPr>
      </w:pPr>
      <w:r>
        <w:rPr>
          <w:rFonts w:hint="eastAsia" w:ascii="Times New Roman" w:hAnsi="Times New Roman" w:eastAsia="方正仿宋简体"/>
          <w:sz w:val="32"/>
          <w:szCs w:val="32"/>
          <w:lang w:eastAsia="zh-CN"/>
        </w:rPr>
        <w:t>㈥加强电磁环境防治。变电站内敷设接地网，将变电站内电气设备接地；变电站内金属构件应做到表面光滑，尽量避免毛刺的出现；</w:t>
      </w:r>
      <w:bookmarkStart w:id="0" w:name="_GoBack"/>
      <w:bookmarkEnd w:id="0"/>
      <w:r>
        <w:rPr>
          <w:rFonts w:hint="eastAsia" w:ascii="Times New Roman" w:hAnsi="Times New Roman" w:eastAsia="方正仿宋简体"/>
          <w:sz w:val="32"/>
          <w:szCs w:val="32"/>
          <w:lang w:eastAsia="zh-CN"/>
        </w:rPr>
        <w:t>选购光洁度高的导线，减少尖端放电；所有线路、高压设备、建筑物钢铁件接地良好，设备导电元件间接触部件连接紧密；电站周围及地埋线路沿线设置高压警示标识；加强设备日常管理和维护，同时加强对工作人员进行有关电磁环境知识的培训，加强宣传教育。</w:t>
      </w:r>
    </w:p>
    <w:p>
      <w:pPr>
        <w:widowControl/>
        <w:spacing w:line="570" w:lineRule="exact"/>
        <w:ind w:firstLine="630"/>
        <w:rPr>
          <w:rFonts w:ascii="Times New Roman" w:hAnsi="Times New Roman" w:eastAsia="方正仿宋简体"/>
          <w:sz w:val="32"/>
          <w:szCs w:val="32"/>
        </w:rPr>
      </w:pPr>
      <w:r>
        <w:rPr>
          <w:rFonts w:hint="eastAsia" w:ascii="Times New Roman" w:hAnsi="Times New Roman" w:eastAsia="方正仿宋简体"/>
          <w:sz w:val="32"/>
          <w:szCs w:val="32"/>
          <w:lang w:eastAsia="zh-CN"/>
        </w:rPr>
        <w:t>㈦加强环境风险防范。光伏场区箱逆变一体机均采用植物油作为冷却剂，油箱内外壳采取防腐设计；变电站内设置事故油池，容积不小于60m</w:t>
      </w:r>
      <w:r>
        <w:rPr>
          <w:rFonts w:hint="eastAsia" w:ascii="Times New Roman" w:hAnsi="Times New Roman" w:eastAsia="方正仿宋简体"/>
          <w:sz w:val="32"/>
          <w:szCs w:val="32"/>
          <w:vertAlign w:val="superscript"/>
          <w:lang w:eastAsia="zh-CN"/>
        </w:rPr>
        <w:t>3</w:t>
      </w:r>
      <w:r>
        <w:rPr>
          <w:rFonts w:hint="eastAsia" w:ascii="Times New Roman" w:hAnsi="Times New Roman" w:eastAsia="方正仿宋简体"/>
          <w:sz w:val="32"/>
          <w:szCs w:val="32"/>
          <w:lang w:eastAsia="zh-CN"/>
        </w:rPr>
        <w:t>，废变压器油集中收集，交有资质单位处理；制定完善的环境管理制度和环境风险事故应急预案，落实各项环境风险事故应急措施，并定期进行应急救援演练。</w:t>
      </w:r>
    </w:p>
    <w:p>
      <w:pPr>
        <w:widowControl/>
        <w:spacing w:line="520" w:lineRule="exact"/>
        <w:ind w:firstLine="630"/>
        <w:rPr>
          <w:rFonts w:ascii="Times New Roman" w:hAnsi="Times New Roman" w:eastAsia="方正仿宋简体"/>
          <w:sz w:val="32"/>
          <w:szCs w:val="32"/>
        </w:rPr>
      </w:pPr>
      <w:r>
        <w:rPr>
          <w:rFonts w:hint="eastAsia" w:ascii="方正黑体简体" w:hAnsi="方正黑体简体" w:eastAsia="方正黑体简体" w:cs="方正黑体简体"/>
          <w:sz w:val="32"/>
          <w:szCs w:val="32"/>
        </w:rPr>
        <w:t>四、</w:t>
      </w:r>
      <w:r>
        <w:rPr>
          <w:rFonts w:ascii="Times New Roman" w:hAnsi="Times New Roman" w:eastAsia="方正仿宋简体"/>
          <w:sz w:val="32"/>
          <w:szCs w:val="32"/>
        </w:rPr>
        <w:t>项目建设应严格执行环境保护设施与主体工程同时设计、同时施工、同时投产使用的环境保护“三同时”制度</w:t>
      </w:r>
      <w:r>
        <w:rPr>
          <w:rFonts w:hint="eastAsia" w:ascii="Times New Roman" w:hAnsi="Times New Roman" w:eastAsia="方正仿宋简体"/>
          <w:sz w:val="32"/>
          <w:szCs w:val="32"/>
        </w:rPr>
        <w:t>，并做好与排污许可证申领的衔接。项目竣工后，按规定及时开展竣工环境保护验收</w:t>
      </w:r>
      <w:r>
        <w:rPr>
          <w:rFonts w:ascii="Times New Roman" w:hAnsi="Times New Roman" w:eastAsia="方正仿宋简体"/>
          <w:sz w:val="32"/>
          <w:szCs w:val="32"/>
        </w:rPr>
        <w:t>。项目运营期的环境现场监督管理工作由</w:t>
      </w:r>
      <w:r>
        <w:rPr>
          <w:rFonts w:hint="eastAsia" w:ascii="Times New Roman" w:hAnsi="Times New Roman" w:eastAsia="方正仿宋简体"/>
          <w:sz w:val="32"/>
          <w:szCs w:val="32"/>
        </w:rPr>
        <w:t>三明市沙县生态环境保护综合</w:t>
      </w:r>
      <w:r>
        <w:rPr>
          <w:rFonts w:ascii="Times New Roman" w:hAnsi="Times New Roman" w:eastAsia="方正仿宋简体"/>
          <w:sz w:val="32"/>
          <w:szCs w:val="32"/>
        </w:rPr>
        <w:t>执法大队具体负责。</w:t>
      </w:r>
    </w:p>
    <w:p>
      <w:pPr>
        <w:widowControl/>
        <w:spacing w:line="570" w:lineRule="exact"/>
        <w:ind w:firstLine="630"/>
        <w:rPr>
          <w:rFonts w:ascii="Times New Roman" w:hAnsi="Times New Roman" w:eastAsia="方正仿宋简体"/>
          <w:sz w:val="32"/>
          <w:szCs w:val="32"/>
        </w:rPr>
      </w:pPr>
      <w:r>
        <w:rPr>
          <w:rFonts w:hint="eastAsia" w:ascii="方正黑体简体" w:hAnsi="方正黑体简体" w:eastAsia="方正黑体简体" w:cs="方正黑体简体"/>
          <w:sz w:val="32"/>
          <w:szCs w:val="32"/>
        </w:rPr>
        <w:t>五、</w:t>
      </w:r>
      <w:r>
        <w:rPr>
          <w:rFonts w:ascii="Times New Roman" w:hAnsi="Times New Roman" w:eastAsia="方正仿宋简体"/>
          <w:sz w:val="32"/>
          <w:szCs w:val="32"/>
        </w:rPr>
        <w:t>在项目施工和运营过程中，应建立畅通的公众参与平台，满足公众合理的环境保护要求；按照国家相关法律、法规要求，做好环境信息公开，定期发布企业环境信息，主动接受社会监督。</w:t>
      </w:r>
    </w:p>
    <w:p>
      <w:pPr>
        <w:widowControl/>
        <w:spacing w:line="570" w:lineRule="exact"/>
        <w:ind w:firstLine="630"/>
        <w:rPr>
          <w:rFonts w:ascii="Times New Roman" w:hAnsi="Times New Roman" w:eastAsia="方正仿宋简体"/>
          <w:sz w:val="32"/>
          <w:szCs w:val="32"/>
        </w:rPr>
      </w:pPr>
      <w:r>
        <w:rPr>
          <w:rFonts w:hint="eastAsia" w:ascii="方正黑体简体" w:hAnsi="方正黑体简体" w:eastAsia="方正黑体简体" w:cs="方正黑体简体"/>
          <w:sz w:val="32"/>
          <w:szCs w:val="32"/>
        </w:rPr>
        <w:t>六、</w:t>
      </w:r>
      <w:r>
        <w:rPr>
          <w:rFonts w:ascii="Times New Roman" w:hAnsi="Times New Roman" w:eastAsia="方正仿宋简体"/>
          <w:sz w:val="32"/>
          <w:szCs w:val="32"/>
        </w:rPr>
        <w:t>项目在环保申请过程中瞒报、假报行为是严重违法行为，并承担由此引起的一切后果。</w:t>
      </w:r>
    </w:p>
    <w:p>
      <w:pPr>
        <w:widowControl/>
        <w:spacing w:line="570" w:lineRule="exact"/>
        <w:ind w:firstLine="630"/>
        <w:rPr>
          <w:rFonts w:ascii="Times New Roman" w:hAnsi="Times New Roman" w:eastAsia="方正仿宋简体"/>
          <w:sz w:val="32"/>
          <w:szCs w:val="32"/>
        </w:rPr>
      </w:pPr>
      <w:r>
        <w:rPr>
          <w:rFonts w:hint="eastAsia" w:ascii="方正黑体简体" w:hAnsi="方正黑体简体" w:eastAsia="方正黑体简体" w:cs="方正黑体简体"/>
          <w:sz w:val="32"/>
          <w:szCs w:val="32"/>
        </w:rPr>
        <w:t>七、</w:t>
      </w:r>
      <w:r>
        <w:rPr>
          <w:rFonts w:ascii="Times New Roman" w:hAnsi="Times New Roman" w:eastAsia="方正仿宋简体"/>
          <w:sz w:val="32"/>
          <w:szCs w:val="32"/>
        </w:rPr>
        <w:t>建设项目的环境影响评价文件经批准后，建设项目的性质、规模、地点、采用的生产工艺或者防治污染、防止生态破坏的措施发生重大变动的，建设单位应当重新报批建设项目的环境影响评价文件。</w:t>
      </w:r>
    </w:p>
    <w:p>
      <w:pPr>
        <w:widowControl/>
        <w:spacing w:line="570" w:lineRule="exact"/>
        <w:ind w:firstLine="630"/>
        <w:rPr>
          <w:rFonts w:ascii="Times New Roman" w:hAnsi="Times New Roman" w:eastAsia="方正仿宋简体"/>
          <w:kern w:val="0"/>
          <w:sz w:val="32"/>
          <w:szCs w:val="32"/>
        </w:rPr>
      </w:pPr>
      <w:r>
        <w:rPr>
          <w:rFonts w:hint="eastAsia" w:ascii="方正黑体简体" w:hAnsi="方正黑体简体" w:eastAsia="方正黑体简体" w:cs="方正黑体简体"/>
          <w:sz w:val="32"/>
          <w:szCs w:val="32"/>
        </w:rPr>
        <w:t>八、</w:t>
      </w:r>
      <w:r>
        <w:rPr>
          <w:rFonts w:ascii="Times New Roman" w:hAnsi="Times New Roman" w:eastAsia="方正仿宋简体"/>
          <w:sz w:val="32"/>
          <w:szCs w:val="32"/>
        </w:rPr>
        <w:t>项目建设涉及其他必须审批的，应按相关规定报批后，方可动工建设。</w:t>
      </w:r>
    </w:p>
    <w:p>
      <w:pPr>
        <w:widowControl/>
        <w:spacing w:line="570" w:lineRule="exact"/>
        <w:ind w:firstLine="4640" w:firstLineChars="1450"/>
        <w:rPr>
          <w:rFonts w:ascii="Times New Roman" w:hAnsi="Times New Roman" w:eastAsia="方正仿宋简体"/>
          <w:kern w:val="0"/>
          <w:sz w:val="32"/>
          <w:szCs w:val="32"/>
        </w:rPr>
      </w:pPr>
    </w:p>
    <w:p>
      <w:pPr>
        <w:widowControl/>
        <w:spacing w:line="570" w:lineRule="exact"/>
        <w:ind w:firstLine="4640" w:firstLineChars="1450"/>
        <w:rPr>
          <w:rFonts w:ascii="Times New Roman" w:hAnsi="Times New Roman" w:eastAsia="方正仿宋简体"/>
          <w:kern w:val="0"/>
          <w:sz w:val="32"/>
          <w:szCs w:val="32"/>
        </w:rPr>
      </w:pPr>
      <w:r>
        <w:rPr>
          <w:rFonts w:ascii="Times New Roman" w:hAnsi="Times New Roman" w:eastAsia="方正仿宋简体"/>
          <w:kern w:val="0"/>
          <w:sz w:val="32"/>
          <w:szCs w:val="32"/>
        </w:rPr>
        <w:t>三明市生态环境局</w:t>
      </w:r>
    </w:p>
    <w:p>
      <w:pPr>
        <w:widowControl/>
        <w:spacing w:line="570" w:lineRule="exact"/>
        <w:ind w:firstLine="4640" w:firstLineChars="1450"/>
        <w:rPr>
          <w:rFonts w:ascii="Times New Roman" w:hAnsi="Times New Roman" w:eastAsia="方正仿宋简体"/>
          <w:kern w:val="0"/>
          <w:sz w:val="32"/>
          <w:szCs w:val="32"/>
        </w:rPr>
      </w:pPr>
      <w:r>
        <w:rPr>
          <w:rFonts w:hint="eastAsia" w:ascii="Times New Roman" w:hAnsi="Times New Roman" w:eastAsia="方正仿宋简体"/>
          <w:kern w:val="0"/>
          <w:sz w:val="32"/>
          <w:szCs w:val="32"/>
        </w:rPr>
        <w:t>2023</w:t>
      </w:r>
      <w:r>
        <w:rPr>
          <w:rFonts w:ascii="Times New Roman" w:hAnsi="Times New Roman" w:eastAsia="方正仿宋简体"/>
          <w:kern w:val="0"/>
          <w:sz w:val="32"/>
          <w:szCs w:val="32"/>
        </w:rPr>
        <w:t>年</w:t>
      </w:r>
      <w:r>
        <w:rPr>
          <w:rFonts w:hint="eastAsia" w:ascii="Times New Roman" w:hAnsi="Times New Roman" w:eastAsia="方正仿宋简体"/>
          <w:kern w:val="0"/>
          <w:sz w:val="32"/>
          <w:szCs w:val="32"/>
        </w:rPr>
        <w:t>12</w:t>
      </w:r>
      <w:r>
        <w:rPr>
          <w:rFonts w:ascii="Times New Roman" w:hAnsi="Times New Roman" w:eastAsia="方正仿宋简体"/>
          <w:kern w:val="0"/>
          <w:sz w:val="32"/>
          <w:szCs w:val="32"/>
        </w:rPr>
        <w:t>月</w:t>
      </w:r>
      <w:r>
        <w:rPr>
          <w:rFonts w:hint="eastAsia" w:ascii="Times New Roman" w:hAnsi="Times New Roman" w:eastAsia="方正仿宋简体"/>
          <w:kern w:val="0"/>
          <w:sz w:val="32"/>
          <w:szCs w:val="32"/>
          <w:lang w:val="en-US" w:eastAsia="zh-CN"/>
        </w:rPr>
        <w:t>28</w:t>
      </w:r>
      <w:r>
        <w:rPr>
          <w:rFonts w:ascii="Times New Roman" w:hAnsi="Times New Roman" w:eastAsia="方正仿宋简体"/>
          <w:kern w:val="0"/>
          <w:sz w:val="32"/>
          <w:szCs w:val="32"/>
        </w:rPr>
        <w:t>日</w:t>
      </w:r>
    </w:p>
    <w:p>
      <w:pPr>
        <w:spacing w:line="570" w:lineRule="exact"/>
        <w:rPr>
          <w:rFonts w:ascii="Times New Roman" w:hAnsi="Times New Roman" w:eastAsia="方正仿宋简体"/>
          <w:kern w:val="0"/>
          <w:sz w:val="32"/>
          <w:szCs w:val="32"/>
        </w:rPr>
      </w:pPr>
    </w:p>
    <w:p>
      <w:pPr>
        <w:spacing w:line="570" w:lineRule="exact"/>
        <w:rPr>
          <w:rFonts w:ascii="Times New Roman" w:hAnsi="Times New Roman" w:eastAsia="方正仿宋简体"/>
          <w:kern w:val="0"/>
          <w:sz w:val="32"/>
          <w:szCs w:val="32"/>
        </w:rPr>
      </w:pPr>
    </w:p>
    <w:p>
      <w:pPr>
        <w:spacing w:line="570" w:lineRule="exact"/>
        <w:rPr>
          <w:rFonts w:ascii="Times New Roman" w:hAnsi="Times New Roman" w:eastAsia="方正仿宋简体"/>
          <w:kern w:val="0"/>
          <w:sz w:val="32"/>
          <w:szCs w:val="32"/>
        </w:rPr>
      </w:pPr>
    </w:p>
    <w:p>
      <w:pPr>
        <w:spacing w:line="570" w:lineRule="exact"/>
        <w:rPr>
          <w:rFonts w:ascii="Times New Roman" w:hAnsi="Times New Roman" w:eastAsia="方正仿宋简体"/>
          <w:kern w:val="0"/>
          <w:sz w:val="32"/>
          <w:szCs w:val="32"/>
        </w:rPr>
      </w:pPr>
    </w:p>
    <w:p>
      <w:pPr>
        <w:spacing w:line="570" w:lineRule="exact"/>
        <w:rPr>
          <w:rFonts w:ascii="Times New Roman" w:hAnsi="Times New Roman" w:eastAsia="方正仿宋简体"/>
          <w:kern w:val="0"/>
          <w:sz w:val="32"/>
          <w:szCs w:val="32"/>
        </w:rPr>
      </w:pPr>
    </w:p>
    <w:p>
      <w:pPr>
        <w:spacing w:line="570" w:lineRule="exact"/>
        <w:rPr>
          <w:rFonts w:ascii="Times New Roman" w:hAnsi="Times New Roman" w:eastAsia="方正仿宋简体"/>
          <w:kern w:val="0"/>
          <w:sz w:val="32"/>
          <w:szCs w:val="32"/>
        </w:rPr>
      </w:pPr>
    </w:p>
    <w:p>
      <w:pPr>
        <w:spacing w:line="570" w:lineRule="exact"/>
      </w:pPr>
      <w:r>
        <w:rPr>
          <w:rFonts w:ascii="Times New Roman" w:hAnsi="Times New Roman" w:eastAsia="方正仿宋简体"/>
          <w:kern w:val="0"/>
          <w:sz w:val="32"/>
          <w:szCs w:val="32"/>
        </w:rPr>
        <w:t>（此件主动公开）</w:t>
      </w:r>
    </w:p>
    <w:p>
      <w:pPr>
        <w:widowControl/>
        <w:spacing w:line="260" w:lineRule="exact"/>
        <w:ind w:firstLine="3255" w:firstLineChars="1550"/>
        <w:rPr>
          <w:rFonts w:ascii="Times New Roman" w:hAnsi="Times New Roman" w:eastAsia="方正仿宋_GBK"/>
          <w:kern w:val="0"/>
          <w:sz w:val="32"/>
          <w:szCs w:val="32"/>
        </w:rPr>
      </w:pPr>
      <w:r>
        <w:rPr>
          <w:rFonts w:ascii="Times New Roman" w:hAnsi="Times New Roman"/>
        </w:rPr>
        <w:pict>
          <v:line id="_x0000_s1026" o:spid="_x0000_s1026" o:spt="20" style="position:absolute;left:0pt;margin-left:0pt;margin-top:12pt;height:0.05pt;width:441pt;z-index:251659264;mso-width-relative:page;mso-height-relative:page;" o:preferrelative="t" coordsize="21600,21600">
            <v:path arrowok="t"/>
            <v:fill focussize="0,0"/>
            <v:stroke miterlimit="2"/>
            <v:imagedata o:title=""/>
            <o:lock v:ext="edit"/>
          </v:line>
        </w:pict>
      </w:r>
    </w:p>
    <w:p>
      <w:pPr>
        <w:widowControl/>
        <w:spacing w:line="360" w:lineRule="exact"/>
        <w:ind w:left="1121" w:leftChars="134" w:hanging="840" w:hangingChars="300"/>
        <w:rPr>
          <w:rFonts w:ascii="Times New Roman" w:hAnsi="Times New Roman" w:eastAsia="方正仿宋简体"/>
          <w:kern w:val="0"/>
          <w:sz w:val="28"/>
          <w:szCs w:val="28"/>
        </w:rPr>
      </w:pPr>
      <w:r>
        <w:rPr>
          <w:rFonts w:ascii="Times New Roman" w:hAnsi="Times New Roman" w:eastAsia="方正仿宋简体"/>
          <w:kern w:val="0"/>
          <w:sz w:val="28"/>
          <w:szCs w:val="28"/>
        </w:rPr>
        <w:t>抄送：</w:t>
      </w:r>
      <w:r>
        <w:rPr>
          <w:rFonts w:hint="eastAsia" w:ascii="Times New Roman" w:hAnsi="Times New Roman" w:eastAsia="方正仿宋简体"/>
          <w:kern w:val="0"/>
          <w:sz w:val="28"/>
          <w:szCs w:val="28"/>
          <w:lang w:eastAsia="zh-CN"/>
        </w:rPr>
        <w:t>三明市沙县区富口镇人民政府</w:t>
      </w:r>
      <w:r>
        <w:rPr>
          <w:rFonts w:hint="eastAsia" w:ascii="Times New Roman" w:hAnsi="Times New Roman" w:eastAsia="方正仿宋简体"/>
          <w:kern w:val="0"/>
          <w:sz w:val="28"/>
          <w:szCs w:val="28"/>
        </w:rPr>
        <w:t>，区工信科技局、发改局、应急局，区消防大队，泉州市正诺环保科技有限公司</w:t>
      </w:r>
      <w:r>
        <w:rPr>
          <w:rFonts w:ascii="Times New Roman" w:hAnsi="Times New Roman" w:eastAsia="方正仿宋简体"/>
          <w:kern w:val="0"/>
          <w:sz w:val="28"/>
          <w:szCs w:val="28"/>
        </w:rPr>
        <w:t>。</w:t>
      </w:r>
    </w:p>
    <w:p>
      <w:pPr>
        <w:widowControl/>
        <w:spacing w:line="700" w:lineRule="exact"/>
        <w:ind w:firstLine="210" w:firstLineChars="100"/>
        <w:rPr>
          <w:rFonts w:ascii="Times New Roman" w:hAnsi="Times New Roman" w:eastAsia="方正仿宋简体"/>
          <w:kern w:val="0"/>
          <w:sz w:val="28"/>
          <w:szCs w:val="28"/>
        </w:rPr>
      </w:pPr>
      <w:r>
        <w:rPr>
          <w:rFonts w:ascii="Times New Roman" w:hAnsi="Times New Roman"/>
        </w:rPr>
        <w:pict>
          <v:line id="_x0000_s1027" o:spid="_x0000_s1027" o:spt="20" style="position:absolute;left:0pt;margin-left:0pt;margin-top:39.4pt;height:0.05pt;width:441pt;z-index:251659264;mso-width-relative:page;mso-height-relative:page;" o:preferrelative="t" coordsize="21600,21600">
            <v:path arrowok="t"/>
            <v:fill focussize="0,0"/>
            <v:stroke miterlimit="2"/>
            <v:imagedata o:title=""/>
            <o:lock v:ext="edit"/>
          </v:line>
        </w:pict>
      </w:r>
      <w:r>
        <w:rPr>
          <w:rFonts w:ascii="Times New Roman" w:hAnsi="Times New Roman"/>
        </w:rPr>
        <w:pict>
          <v:line id="_x0000_s1028" o:spid="_x0000_s1028" o:spt="20" style="position:absolute;left:0pt;margin-left:0pt;margin-top:7.4pt;height:0.05pt;width:441pt;z-index:251659264;mso-width-relative:page;mso-height-relative:page;" o:preferrelative="t" coordsize="21600,21600">
            <v:path arrowok="t"/>
            <v:fill focussize="0,0"/>
            <v:stroke miterlimit="2"/>
            <v:imagedata o:title=""/>
            <o:lock v:ext="edit"/>
          </v:line>
        </w:pict>
      </w:r>
      <w:r>
        <w:rPr>
          <w:rFonts w:ascii="Times New Roman" w:hAnsi="Times New Roman" w:eastAsia="方正仿宋简体"/>
          <w:kern w:val="0"/>
          <w:sz w:val="28"/>
          <w:szCs w:val="28"/>
        </w:rPr>
        <w:t xml:space="preserve">三明市生态环境局办公室             </w:t>
      </w:r>
      <w:r>
        <w:rPr>
          <w:rFonts w:hint="eastAsia" w:ascii="Times New Roman" w:hAnsi="Times New Roman" w:eastAsia="方正仿宋简体"/>
          <w:kern w:val="0"/>
          <w:sz w:val="28"/>
          <w:szCs w:val="28"/>
        </w:rPr>
        <w:t>2023</w:t>
      </w:r>
      <w:r>
        <w:rPr>
          <w:rFonts w:ascii="Times New Roman" w:hAnsi="Times New Roman" w:eastAsia="方正仿宋简体"/>
          <w:kern w:val="0"/>
          <w:sz w:val="28"/>
          <w:szCs w:val="28"/>
        </w:rPr>
        <w:t>年</w:t>
      </w:r>
      <w:r>
        <w:rPr>
          <w:rFonts w:hint="eastAsia" w:ascii="Times New Roman" w:hAnsi="Times New Roman" w:eastAsia="方正仿宋简体"/>
          <w:kern w:val="0"/>
          <w:sz w:val="28"/>
          <w:szCs w:val="28"/>
        </w:rPr>
        <w:t>12</w:t>
      </w:r>
      <w:r>
        <w:rPr>
          <w:rFonts w:ascii="Times New Roman" w:hAnsi="Times New Roman" w:eastAsia="方正仿宋简体"/>
          <w:kern w:val="0"/>
          <w:sz w:val="28"/>
          <w:szCs w:val="28"/>
        </w:rPr>
        <w:t>月</w:t>
      </w:r>
      <w:r>
        <w:rPr>
          <w:rFonts w:hint="eastAsia" w:ascii="Times New Roman" w:hAnsi="Times New Roman" w:eastAsia="方正仿宋简体"/>
          <w:kern w:val="0"/>
          <w:sz w:val="28"/>
          <w:szCs w:val="28"/>
          <w:lang w:val="en-US" w:eastAsia="zh-CN"/>
        </w:rPr>
        <w:t>28</w:t>
      </w:r>
      <w:r>
        <w:rPr>
          <w:rFonts w:ascii="Times New Roman" w:hAnsi="Times New Roman" w:eastAsia="方正仿宋简体"/>
          <w:kern w:val="0"/>
          <w:sz w:val="28"/>
          <w:szCs w:val="28"/>
        </w:rPr>
        <w:t>日印发</w:t>
      </w:r>
    </w:p>
    <w:sectPr>
      <w:headerReference r:id="rId3" w:type="default"/>
      <w:footerReference r:id="rId4" w:type="default"/>
      <w:footerReference r:id="rId5" w:type="even"/>
      <w:pgSz w:w="11906" w:h="16838"/>
      <w:pgMar w:top="1531" w:right="1531" w:bottom="1531" w:left="153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方正黑体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outside" w:y="1"/>
      <w:rPr>
        <w:rStyle w:val="18"/>
        <w:rFonts w:ascii="方正仿宋简体" w:eastAsia="方正仿宋简体"/>
        <w:sz w:val="28"/>
        <w:szCs w:val="28"/>
      </w:rPr>
    </w:pPr>
    <w:r>
      <w:rPr>
        <w:rStyle w:val="18"/>
        <w:rFonts w:ascii="方正仿宋简体" w:eastAsia="方正仿宋简体"/>
        <w:sz w:val="28"/>
        <w:szCs w:val="28"/>
      </w:rPr>
      <w:fldChar w:fldCharType="begin"/>
    </w:r>
    <w:r>
      <w:rPr>
        <w:rStyle w:val="18"/>
        <w:rFonts w:ascii="方正仿宋简体" w:eastAsia="方正仿宋简体"/>
        <w:sz w:val="28"/>
        <w:szCs w:val="28"/>
      </w:rPr>
      <w:instrText xml:space="preserve">PAGE  </w:instrText>
    </w:r>
    <w:r>
      <w:rPr>
        <w:rStyle w:val="18"/>
        <w:rFonts w:ascii="方正仿宋简体" w:eastAsia="方正仿宋简体"/>
        <w:sz w:val="28"/>
        <w:szCs w:val="28"/>
      </w:rPr>
      <w:fldChar w:fldCharType="separate"/>
    </w:r>
    <w:r>
      <w:rPr>
        <w:rStyle w:val="18"/>
        <w:rFonts w:ascii="方正仿宋简体" w:eastAsia="方正仿宋简体"/>
        <w:sz w:val="28"/>
        <w:szCs w:val="28"/>
      </w:rPr>
      <w:t>- 3 -</w:t>
    </w:r>
    <w:r>
      <w:rPr>
        <w:rStyle w:val="18"/>
        <w:rFonts w:ascii="方正仿宋简体" w:eastAsia="方正仿宋简体"/>
        <w:sz w:val="28"/>
        <w:szCs w:val="28"/>
      </w:rPr>
      <w:fldChar w:fldCharType="end"/>
    </w:r>
  </w:p>
  <w:p>
    <w:pPr>
      <w:pStyle w:val="10"/>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outside" w:y="1"/>
      <w:rPr>
        <w:rStyle w:val="18"/>
      </w:rPr>
    </w:pPr>
    <w:r>
      <w:rPr>
        <w:rStyle w:val="18"/>
      </w:rPr>
      <w:fldChar w:fldCharType="begin"/>
    </w:r>
    <w:r>
      <w:rPr>
        <w:rStyle w:val="18"/>
      </w:rPr>
      <w:instrText xml:space="preserve">PAGE  </w:instrText>
    </w:r>
    <w:r>
      <w:rPr>
        <w:rStyle w:val="18"/>
      </w:rPr>
      <w:fldChar w:fldCharType="separate"/>
    </w:r>
    <w:r>
      <w:rPr>
        <w:rStyle w:val="18"/>
      </w:rPr>
      <w:t>- 2 -</w:t>
    </w:r>
    <w:r>
      <w:rPr>
        <w:rStyle w:val="18"/>
      </w:rPr>
      <w:fldChar w:fldCharType="end"/>
    </w:r>
  </w:p>
  <w:p>
    <w:pPr>
      <w:pStyle w:val="10"/>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GRlYWVhOTU4NDBmMzViYjZiNTNiZjA5YzA4YTdjOTgifQ=="/>
  </w:docVars>
  <w:rsids>
    <w:rsidRoot w:val="00B1451C"/>
    <w:rsid w:val="004D1365"/>
    <w:rsid w:val="006429FA"/>
    <w:rsid w:val="006462ED"/>
    <w:rsid w:val="00660C3A"/>
    <w:rsid w:val="00706573"/>
    <w:rsid w:val="00720C81"/>
    <w:rsid w:val="00A95B51"/>
    <w:rsid w:val="00B1451C"/>
    <w:rsid w:val="00FD00AC"/>
    <w:rsid w:val="07496CCE"/>
    <w:rsid w:val="0A203CA8"/>
    <w:rsid w:val="1CFD6A44"/>
    <w:rsid w:val="21C10A3D"/>
    <w:rsid w:val="2BA67ACA"/>
    <w:rsid w:val="2FBE7814"/>
    <w:rsid w:val="35002EE0"/>
    <w:rsid w:val="358B58CD"/>
    <w:rsid w:val="3F20266C"/>
    <w:rsid w:val="3F9F109F"/>
    <w:rsid w:val="45C828D6"/>
    <w:rsid w:val="4A876E50"/>
    <w:rsid w:val="636B2036"/>
    <w:rsid w:val="640229B5"/>
    <w:rsid w:val="68E325CC"/>
    <w:rsid w:val="6EA85649"/>
    <w:rsid w:val="703D33CF"/>
    <w:rsid w:val="73462428"/>
    <w:rsid w:val="7D7B6FF8"/>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qFormat="1" w:uiPriority="99" w:semiHidden="0" w:name="Body Text First Indent"/>
    <w:lsdException w:qFormat="1" w:unhideWhenUsed="0" w:uiPriority="0" w:semiHidden="0" w:name="Body Text First Indent 2"/>
    <w:lsdException w:qFormat="1" w:unhideWhenUsed="0" w:uiPriority="0" w:semiHidden="0"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36"/>
    <w:autoRedefine/>
    <w:qFormat/>
    <w:locked/>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17">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3">
    <w:name w:val="Note Heading"/>
    <w:basedOn w:val="1"/>
    <w:next w:val="1"/>
    <w:autoRedefine/>
    <w:qFormat/>
    <w:uiPriority w:val="0"/>
    <w:pPr>
      <w:jc w:val="center"/>
    </w:pPr>
  </w:style>
  <w:style w:type="paragraph" w:styleId="4">
    <w:name w:val="annotation text"/>
    <w:basedOn w:val="1"/>
    <w:link w:val="31"/>
    <w:autoRedefine/>
    <w:semiHidden/>
    <w:qFormat/>
    <w:uiPriority w:val="99"/>
    <w:pPr>
      <w:jc w:val="left"/>
    </w:pPr>
  </w:style>
  <w:style w:type="paragraph" w:styleId="5">
    <w:name w:val="Body Text"/>
    <w:basedOn w:val="1"/>
    <w:next w:val="3"/>
    <w:link w:val="28"/>
    <w:autoRedefine/>
    <w:semiHidden/>
    <w:qFormat/>
    <w:uiPriority w:val="99"/>
    <w:pPr>
      <w:widowControl/>
      <w:spacing w:line="450" w:lineRule="atLeast"/>
      <w:ind w:firstLine="480"/>
      <w:jc w:val="left"/>
    </w:pPr>
    <w:rPr>
      <w:rFonts w:ascii="宋体" w:hAnsi="宋体" w:cs="宋体"/>
      <w:spacing w:val="48"/>
      <w:kern w:val="0"/>
      <w:sz w:val="24"/>
      <w:szCs w:val="24"/>
    </w:rPr>
  </w:style>
  <w:style w:type="paragraph" w:styleId="6">
    <w:name w:val="Body Text Indent"/>
    <w:basedOn w:val="1"/>
    <w:autoRedefine/>
    <w:qFormat/>
    <w:uiPriority w:val="0"/>
    <w:pPr>
      <w:snapToGrid w:val="0"/>
      <w:spacing w:line="560" w:lineRule="exact"/>
      <w:ind w:firstLine="600"/>
    </w:pPr>
    <w:rPr>
      <w:rFonts w:ascii="宋体" w:hAnsi="宋体"/>
      <w:color w:val="000000"/>
      <w:sz w:val="30"/>
    </w:rPr>
  </w:style>
  <w:style w:type="paragraph" w:styleId="7">
    <w:name w:val="Date"/>
    <w:basedOn w:val="1"/>
    <w:next w:val="1"/>
    <w:link w:val="35"/>
    <w:autoRedefine/>
    <w:qFormat/>
    <w:uiPriority w:val="99"/>
    <w:pPr>
      <w:ind w:left="100" w:leftChars="2500"/>
    </w:pPr>
  </w:style>
  <w:style w:type="paragraph" w:styleId="8">
    <w:name w:val="Body Text Indent 2"/>
    <w:basedOn w:val="1"/>
    <w:link w:val="34"/>
    <w:autoRedefine/>
    <w:qFormat/>
    <w:uiPriority w:val="99"/>
    <w:pPr>
      <w:spacing w:after="120" w:line="480" w:lineRule="auto"/>
      <w:ind w:left="420" w:leftChars="200"/>
    </w:pPr>
  </w:style>
  <w:style w:type="paragraph" w:styleId="9">
    <w:name w:val="Balloon Text"/>
    <w:basedOn w:val="1"/>
    <w:link w:val="33"/>
    <w:autoRedefine/>
    <w:semiHidden/>
    <w:qFormat/>
    <w:uiPriority w:val="99"/>
    <w:rPr>
      <w:sz w:val="18"/>
      <w:szCs w:val="18"/>
    </w:rPr>
  </w:style>
  <w:style w:type="paragraph" w:styleId="10">
    <w:name w:val="footer"/>
    <w:basedOn w:val="1"/>
    <w:link w:val="30"/>
    <w:autoRedefine/>
    <w:semiHidden/>
    <w:qFormat/>
    <w:uiPriority w:val="99"/>
    <w:pPr>
      <w:tabs>
        <w:tab w:val="center" w:pos="4153"/>
        <w:tab w:val="right" w:pos="8306"/>
      </w:tabs>
      <w:snapToGrid w:val="0"/>
      <w:jc w:val="left"/>
    </w:pPr>
    <w:rPr>
      <w:sz w:val="18"/>
      <w:szCs w:val="18"/>
    </w:rPr>
  </w:style>
  <w:style w:type="paragraph" w:styleId="11">
    <w:name w:val="header"/>
    <w:basedOn w:val="1"/>
    <w:link w:val="29"/>
    <w:autoRedefine/>
    <w:semiHidden/>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13">
    <w:name w:val="annotation subject"/>
    <w:basedOn w:val="4"/>
    <w:next w:val="4"/>
    <w:link w:val="32"/>
    <w:autoRedefine/>
    <w:semiHidden/>
    <w:qFormat/>
    <w:uiPriority w:val="99"/>
    <w:rPr>
      <w:b/>
      <w:bCs/>
    </w:rPr>
  </w:style>
  <w:style w:type="paragraph" w:styleId="14">
    <w:name w:val="Body Text First Indent"/>
    <w:basedOn w:val="5"/>
    <w:next w:val="1"/>
    <w:autoRedefine/>
    <w:unhideWhenUsed/>
    <w:qFormat/>
    <w:uiPriority w:val="99"/>
    <w:pPr>
      <w:ind w:firstLine="420" w:firstLineChars="100"/>
    </w:pPr>
  </w:style>
  <w:style w:type="paragraph" w:styleId="15">
    <w:name w:val="Body Text First Indent 2"/>
    <w:basedOn w:val="6"/>
    <w:next w:val="14"/>
    <w:autoRedefine/>
    <w:qFormat/>
    <w:uiPriority w:val="0"/>
    <w:pPr>
      <w:adjustRightInd w:val="0"/>
      <w:spacing w:line="360" w:lineRule="auto"/>
      <w:ind w:firstLine="1044"/>
    </w:pPr>
    <w:rPr>
      <w:rFonts w:ascii="Times New Roman" w:hAnsi="Times New Roman"/>
    </w:rPr>
  </w:style>
  <w:style w:type="character" w:styleId="18">
    <w:name w:val="page number"/>
    <w:basedOn w:val="17"/>
    <w:autoRedefine/>
    <w:qFormat/>
    <w:uiPriority w:val="99"/>
    <w:rPr>
      <w:rFonts w:cs="Times New Roman"/>
    </w:rPr>
  </w:style>
  <w:style w:type="character" w:styleId="19">
    <w:name w:val="Emphasis"/>
    <w:basedOn w:val="17"/>
    <w:autoRedefine/>
    <w:qFormat/>
    <w:locked/>
    <w:uiPriority w:val="0"/>
    <w:rPr>
      <w:i/>
    </w:rPr>
  </w:style>
  <w:style w:type="character" w:styleId="20">
    <w:name w:val="annotation reference"/>
    <w:basedOn w:val="17"/>
    <w:autoRedefine/>
    <w:semiHidden/>
    <w:qFormat/>
    <w:uiPriority w:val="99"/>
    <w:rPr>
      <w:rFonts w:cs="Times New Roman"/>
      <w:sz w:val="21"/>
      <w:szCs w:val="21"/>
    </w:rPr>
  </w:style>
  <w:style w:type="paragraph" w:customStyle="1" w:styleId="21">
    <w:name w:val="正文(首行缩进)"/>
    <w:basedOn w:val="1"/>
    <w:autoRedefine/>
    <w:qFormat/>
    <w:uiPriority w:val="0"/>
    <w:pPr>
      <w:adjustRightInd w:val="0"/>
      <w:snapToGrid w:val="0"/>
      <w:spacing w:line="360" w:lineRule="auto"/>
      <w:ind w:firstLine="200" w:firstLineChars="200"/>
    </w:pPr>
    <w:rPr>
      <w:snapToGrid w:val="0"/>
      <w:szCs w:val="24"/>
    </w:rPr>
  </w:style>
  <w:style w:type="paragraph" w:customStyle="1" w:styleId="22">
    <w:name w:val="_Style 2"/>
    <w:basedOn w:val="1"/>
    <w:autoRedefine/>
    <w:qFormat/>
    <w:uiPriority w:val="99"/>
    <w:pPr>
      <w:spacing w:line="360" w:lineRule="auto"/>
      <w:ind w:firstLine="200" w:firstLineChars="200"/>
    </w:pPr>
    <w:rPr>
      <w:rFonts w:ascii="Times New Roman" w:hAnsi="Times New Roman"/>
      <w:szCs w:val="24"/>
    </w:rPr>
  </w:style>
  <w:style w:type="paragraph" w:customStyle="1" w:styleId="23">
    <w:name w:val="列出段落1"/>
    <w:basedOn w:val="1"/>
    <w:autoRedefine/>
    <w:qFormat/>
    <w:uiPriority w:val="99"/>
    <w:pPr>
      <w:ind w:firstLine="420" w:firstLineChars="200"/>
    </w:pPr>
  </w:style>
  <w:style w:type="paragraph" w:customStyle="1" w:styleId="24">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5">
    <w:name w:val="环评文本"/>
    <w:basedOn w:val="1"/>
    <w:autoRedefine/>
    <w:qFormat/>
    <w:uiPriority w:val="0"/>
    <w:pPr>
      <w:spacing w:line="360" w:lineRule="auto"/>
      <w:ind w:firstLine="480" w:firstLineChars="200"/>
    </w:pPr>
    <w:rPr>
      <w:color w:val="000000"/>
      <w:sz w:val="24"/>
    </w:rPr>
  </w:style>
  <w:style w:type="paragraph" w:customStyle="1" w:styleId="26">
    <w:name w:val="0文本"/>
    <w:autoRedefine/>
    <w:qFormat/>
    <w:uiPriority w:val="0"/>
    <w:pPr>
      <w:tabs>
        <w:tab w:val="left" w:pos="4500"/>
      </w:tabs>
    </w:pPr>
    <w:rPr>
      <w:rFonts w:ascii="Times New Roman" w:hAnsi="Times New Roman" w:eastAsia="宋体" w:cs="Times New Roman"/>
      <w:lang w:val="en-US" w:eastAsia="zh-CN" w:bidi="ar-SA"/>
    </w:rPr>
  </w:style>
  <w:style w:type="paragraph" w:customStyle="1" w:styleId="27">
    <w:name w:val="000正文abing(新)"/>
    <w:basedOn w:val="1"/>
    <w:autoRedefine/>
    <w:qFormat/>
    <w:uiPriority w:val="0"/>
    <w:pPr>
      <w:widowControl/>
      <w:spacing w:line="440" w:lineRule="exact"/>
      <w:ind w:firstLine="480" w:firstLineChars="200"/>
    </w:pPr>
    <w:rPr>
      <w:rFonts w:eastAsia="Times New Roman"/>
      <w:sz w:val="24"/>
    </w:rPr>
  </w:style>
  <w:style w:type="character" w:customStyle="1" w:styleId="28">
    <w:name w:val="正文文本 Char"/>
    <w:basedOn w:val="17"/>
    <w:link w:val="5"/>
    <w:autoRedefine/>
    <w:semiHidden/>
    <w:qFormat/>
    <w:locked/>
    <w:uiPriority w:val="99"/>
    <w:rPr>
      <w:rFonts w:ascii="宋体" w:hAnsi="宋体" w:eastAsia="宋体" w:cs="宋体"/>
      <w:spacing w:val="48"/>
      <w:kern w:val="0"/>
      <w:sz w:val="24"/>
      <w:szCs w:val="24"/>
    </w:rPr>
  </w:style>
  <w:style w:type="character" w:customStyle="1" w:styleId="29">
    <w:name w:val="页眉 Char"/>
    <w:basedOn w:val="17"/>
    <w:link w:val="11"/>
    <w:autoRedefine/>
    <w:semiHidden/>
    <w:qFormat/>
    <w:locked/>
    <w:uiPriority w:val="99"/>
    <w:rPr>
      <w:rFonts w:cs="Times New Roman"/>
      <w:kern w:val="2"/>
      <w:sz w:val="18"/>
      <w:szCs w:val="18"/>
    </w:rPr>
  </w:style>
  <w:style w:type="character" w:customStyle="1" w:styleId="30">
    <w:name w:val="页脚 Char"/>
    <w:basedOn w:val="17"/>
    <w:link w:val="10"/>
    <w:autoRedefine/>
    <w:semiHidden/>
    <w:qFormat/>
    <w:locked/>
    <w:uiPriority w:val="99"/>
    <w:rPr>
      <w:rFonts w:cs="Times New Roman"/>
      <w:kern w:val="2"/>
      <w:sz w:val="18"/>
      <w:szCs w:val="18"/>
    </w:rPr>
  </w:style>
  <w:style w:type="character" w:customStyle="1" w:styleId="31">
    <w:name w:val="批注文字 Char"/>
    <w:basedOn w:val="17"/>
    <w:link w:val="4"/>
    <w:autoRedefine/>
    <w:semiHidden/>
    <w:qFormat/>
    <w:locked/>
    <w:uiPriority w:val="99"/>
    <w:rPr>
      <w:rFonts w:cs="Times New Roman"/>
    </w:rPr>
  </w:style>
  <w:style w:type="character" w:customStyle="1" w:styleId="32">
    <w:name w:val="批注主题 Char"/>
    <w:basedOn w:val="31"/>
    <w:link w:val="13"/>
    <w:autoRedefine/>
    <w:semiHidden/>
    <w:qFormat/>
    <w:locked/>
    <w:uiPriority w:val="99"/>
    <w:rPr>
      <w:b/>
      <w:bCs/>
    </w:rPr>
  </w:style>
  <w:style w:type="character" w:customStyle="1" w:styleId="33">
    <w:name w:val="批注框文本 Char"/>
    <w:basedOn w:val="17"/>
    <w:link w:val="9"/>
    <w:autoRedefine/>
    <w:semiHidden/>
    <w:qFormat/>
    <w:locked/>
    <w:uiPriority w:val="99"/>
    <w:rPr>
      <w:rFonts w:cs="Times New Roman"/>
      <w:sz w:val="2"/>
    </w:rPr>
  </w:style>
  <w:style w:type="character" w:customStyle="1" w:styleId="34">
    <w:name w:val="正文文本缩进 2 Char"/>
    <w:basedOn w:val="17"/>
    <w:link w:val="8"/>
    <w:autoRedefine/>
    <w:semiHidden/>
    <w:qFormat/>
    <w:locked/>
    <w:uiPriority w:val="99"/>
    <w:rPr>
      <w:rFonts w:cs="Times New Roman"/>
    </w:rPr>
  </w:style>
  <w:style w:type="character" w:customStyle="1" w:styleId="35">
    <w:name w:val="日期 Char"/>
    <w:basedOn w:val="17"/>
    <w:link w:val="7"/>
    <w:autoRedefine/>
    <w:semiHidden/>
    <w:qFormat/>
    <w:locked/>
    <w:uiPriority w:val="99"/>
    <w:rPr>
      <w:rFonts w:cs="Times New Roman"/>
    </w:rPr>
  </w:style>
  <w:style w:type="character" w:customStyle="1" w:styleId="36">
    <w:name w:val="标题 1 Char"/>
    <w:basedOn w:val="17"/>
    <w:link w:val="2"/>
    <w:autoRedefine/>
    <w:qFormat/>
    <w:uiPriority w:val="9"/>
    <w:rPr>
      <w:rFonts w:ascii="宋体" w:hAnsi="宋体" w:cs="宋体"/>
      <w:b/>
      <w:bCs/>
      <w:kern w:val="36"/>
      <w:sz w:val="48"/>
      <w:szCs w:val="4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207</Words>
  <Characters>1186</Characters>
  <Lines>9</Lines>
  <Paragraphs>2</Paragraphs>
  <TotalTime>0</TotalTime>
  <ScaleCrop>false</ScaleCrop>
  <LinksUpToDate>false</LinksUpToDate>
  <CharactersWithSpaces>1391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2019-06-04T00:11:00Z</dcterms:created>
  <dc:creator>meiyongjin</dc:creator>
  <cp:lastModifiedBy>Administrator</cp:lastModifiedBy>
  <cp:lastPrinted>2023-07-31T01:05:00Z</cp:lastPrinted>
  <dcterms:modified xsi:type="dcterms:W3CDTF">2023-12-28T02:22:51Z</dcterms:modified>
  <dc:title>沙环函〔2014〕18号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241D04FCA1F44FD98E8C60CA6F83ED87</vt:lpwstr>
  </property>
</Properties>
</file>