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F2A97">
      <w:pPr>
        <w:rPr>
          <w:rFonts w:hint="eastAsia" w:eastAsia="仿宋_GB2312"/>
          <w:sz w:val="32"/>
        </w:rPr>
      </w:pPr>
    </w:p>
    <w:p w14:paraId="39BA1EBF">
      <w:pPr>
        <w:pStyle w:val="2"/>
        <w:ind w:firstLine="336"/>
      </w:pPr>
    </w:p>
    <w:p w14:paraId="325EA0E3">
      <w:pPr>
        <w:jc w:val="right"/>
        <w:rPr>
          <w:rFonts w:ascii="Times New Roman" w:hAnsi="Times New Roman" w:eastAsia="仿宋_GB2312"/>
          <w:sz w:val="32"/>
        </w:rPr>
      </w:pPr>
    </w:p>
    <w:p w14:paraId="6ABE1CB2">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w:t>
      </w:r>
      <w:r>
        <w:rPr>
          <w:rFonts w:hint="eastAsia" w:ascii="Times New Roman" w:hAnsi="Times New Roman" w:eastAsia="方正仿宋简体"/>
          <w:kern w:val="0"/>
          <w:sz w:val="32"/>
          <w:szCs w:val="32"/>
          <w:lang w:val="en-US" w:eastAsia="zh-CN"/>
        </w:rPr>
        <w:t>5</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2</w:t>
      </w:r>
      <w:r>
        <w:rPr>
          <w:rFonts w:ascii="Times New Roman" w:hAnsi="Times New Roman" w:eastAsia="方正仿宋简体"/>
          <w:kern w:val="0"/>
          <w:sz w:val="32"/>
          <w:szCs w:val="32"/>
        </w:rPr>
        <w:t>号</w:t>
      </w:r>
    </w:p>
    <w:p w14:paraId="4CB41E88">
      <w:pPr>
        <w:spacing w:line="500" w:lineRule="exact"/>
        <w:rPr>
          <w:rFonts w:ascii="Times New Roman" w:hAnsi="Times New Roman" w:eastAsia="仿宋_GB2312"/>
          <w:kern w:val="0"/>
          <w:sz w:val="32"/>
          <w:szCs w:val="32"/>
        </w:rPr>
      </w:pPr>
    </w:p>
    <w:p w14:paraId="5A547C31">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14:paraId="7343D815">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关于</w:t>
      </w:r>
      <w:r>
        <w:rPr>
          <w:rFonts w:hint="eastAsia" w:ascii="Times New Roman" w:hAnsi="Times New Roman" w:eastAsia="方正小标宋简体" w:cs="Times New Roman"/>
          <w:kern w:val="0"/>
          <w:sz w:val="44"/>
          <w:szCs w:val="44"/>
          <w:lang w:val="en-US" w:eastAsia="zh-CN"/>
        </w:rPr>
        <w:t>福建省开诚机械有限公司大型高效发电装备核心零部件智能制造项目</w:t>
      </w:r>
      <w:r>
        <w:rPr>
          <w:rFonts w:ascii="Times New Roman" w:hAnsi="Times New Roman" w:eastAsia="方正小标宋简体"/>
          <w:kern w:val="0"/>
          <w:sz w:val="44"/>
          <w:szCs w:val="44"/>
        </w:rPr>
        <w:t>环境影响</w:t>
      </w:r>
    </w:p>
    <w:p w14:paraId="6A2488C6">
      <w:pPr>
        <w:spacing w:line="700" w:lineRule="exact"/>
        <w:jc w:val="center"/>
        <w:rPr>
          <w:rFonts w:ascii="Times New Roman" w:hAnsi="Times New Roman" w:eastAsia="方正仿宋_GBK"/>
          <w:kern w:val="0"/>
          <w:sz w:val="32"/>
          <w:szCs w:val="32"/>
        </w:rPr>
      </w:pP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14:paraId="38E76C36">
      <w:pPr>
        <w:widowControl/>
        <w:spacing w:line="600" w:lineRule="exact"/>
        <w:rPr>
          <w:rFonts w:ascii="Times New Roman" w:hAnsi="Times New Roman" w:eastAsia="方正仿宋简体"/>
          <w:kern w:val="0"/>
          <w:sz w:val="32"/>
          <w:szCs w:val="32"/>
        </w:rPr>
      </w:pPr>
    </w:p>
    <w:p w14:paraId="20979D9F">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福建省开诚机械有限公司</w:t>
      </w:r>
      <w:r>
        <w:rPr>
          <w:rFonts w:ascii="Times New Roman" w:hAnsi="Times New Roman" w:eastAsia="方正仿宋简体"/>
          <w:kern w:val="0"/>
          <w:sz w:val="32"/>
          <w:szCs w:val="32"/>
        </w:rPr>
        <w:t>：</w:t>
      </w:r>
    </w:p>
    <w:p w14:paraId="0FB6372E">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你公司</w:t>
      </w:r>
      <w:r>
        <w:rPr>
          <w:rFonts w:hint="eastAsia" w:ascii="Times New Roman" w:hAnsi="Times New Roman" w:eastAsia="方正仿宋简体"/>
          <w:kern w:val="0"/>
          <w:sz w:val="32"/>
          <w:szCs w:val="32"/>
        </w:rPr>
        <w:t>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eastAsia="zh-CN"/>
        </w:rPr>
        <w:t>福建省开诚机械有限公司大型高效发电装备核心零部件智能制造项目</w:t>
      </w:r>
      <w:r>
        <w:rPr>
          <w:rFonts w:hint="eastAsia" w:ascii="Times New Roman" w:hAnsi="Times New Roman" w:eastAsia="方正仿宋简体"/>
          <w:kern w:val="0"/>
          <w:sz w:val="32"/>
          <w:szCs w:val="32"/>
        </w:rPr>
        <w:t>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w:t>
      </w:r>
      <w:r>
        <w:rPr>
          <w:rFonts w:hint="eastAsia" w:ascii="Times New Roman" w:hAnsi="Times New Roman" w:eastAsia="方正仿宋简体"/>
          <w:kern w:val="0"/>
          <w:sz w:val="32"/>
          <w:szCs w:val="32"/>
          <w:lang w:val="en-US" w:eastAsia="zh-CN"/>
        </w:rPr>
        <w:t>5</w:t>
      </w:r>
      <w:r>
        <w:rPr>
          <w:rFonts w:hint="eastAsia"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1</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9</w:t>
      </w:r>
      <w:r>
        <w:rPr>
          <w:rFonts w:hint="eastAsia" w:ascii="Times New Roman" w:hAnsi="Times New Roman" w:eastAsia="方正仿宋简体"/>
          <w:kern w:val="0"/>
          <w:sz w:val="32"/>
          <w:szCs w:val="32"/>
        </w:rPr>
        <w:t>日受理该报告表的审批申请，在沙县区人民政府门户网站对受理情况进行公开，并将报告表全本公示；于202</w:t>
      </w:r>
      <w:r>
        <w:rPr>
          <w:rFonts w:hint="eastAsia" w:ascii="Times New Roman" w:hAnsi="Times New Roman" w:eastAsia="方正仿宋简体"/>
          <w:kern w:val="0"/>
          <w:sz w:val="32"/>
          <w:szCs w:val="32"/>
          <w:lang w:val="en-US" w:eastAsia="zh-CN"/>
        </w:rPr>
        <w:t>5</w:t>
      </w:r>
      <w:r>
        <w:rPr>
          <w:rFonts w:hint="eastAsia"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1</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23</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14:paraId="42E2398F">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拟建项目选址于福建省三明市沙县区凤岗金福东路289号，改扩建后为年产20000吨铸钢件</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lang w:eastAsia="zh-CN"/>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14:paraId="3498473D">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w:t>
      </w:r>
      <w:r>
        <w:rPr>
          <w:rFonts w:ascii="Times New Roman" w:hAnsi="Times New Roman" w:eastAsia="方正仿宋简体"/>
          <w:sz w:val="32"/>
          <w:szCs w:val="32"/>
        </w:rPr>
        <w:t>《三明市“三线一单”生态环境分区管控方案》</w:t>
      </w:r>
      <w:r>
        <w:rPr>
          <w:rFonts w:hint="eastAsia" w:ascii="Times New Roman" w:hAnsi="Times New Roman" w:eastAsia="方正仿宋简体"/>
          <w:sz w:val="32"/>
          <w:szCs w:val="32"/>
        </w:rPr>
        <w:t>、国家产业政策</w:t>
      </w:r>
      <w:r>
        <w:rPr>
          <w:rFonts w:hint="eastAsia" w:ascii="Times New Roman" w:hAnsi="Times New Roman" w:eastAsia="方正仿宋简体"/>
          <w:sz w:val="32"/>
          <w:szCs w:val="32"/>
          <w:lang w:eastAsia="zh-CN"/>
        </w:rPr>
        <w:t>、规划和规划环评</w:t>
      </w:r>
      <w:r>
        <w:rPr>
          <w:rFonts w:hint="eastAsia" w:ascii="Times New Roman" w:hAnsi="Times New Roman" w:eastAsia="方正仿宋简体"/>
          <w:sz w:val="32"/>
          <w:szCs w:val="32"/>
        </w:rPr>
        <w:t>要求。</w:t>
      </w:r>
    </w:p>
    <w:p w14:paraId="5B15D981">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w:t>
      </w:r>
      <w:r>
        <w:rPr>
          <w:rFonts w:hint="eastAsia" w:ascii="Times New Roman" w:hAnsi="Times New Roman" w:eastAsia="方正仿宋简体"/>
          <w:sz w:val="32"/>
          <w:szCs w:val="32"/>
          <w:lang w:eastAsia="zh-CN"/>
        </w:rPr>
        <w:t>你公司</w:t>
      </w:r>
      <w:r>
        <w:rPr>
          <w:rFonts w:hint="eastAsia" w:ascii="Times New Roman" w:hAnsi="Times New Roman" w:eastAsia="方正仿宋简体"/>
          <w:sz w:val="32"/>
          <w:szCs w:val="32"/>
        </w:rPr>
        <w:t>必须严格落实报告表提出的各项环保要求，确保其污染物达标排放、符合总量控制要求和不得对周边环境产生影响，并着重做好以下工作：</w:t>
      </w:r>
    </w:p>
    <w:p w14:paraId="208688EE">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。生活污水和经隔油池预处理后食堂废水</w:t>
      </w:r>
      <w:r>
        <w:rPr>
          <w:rFonts w:hint="eastAsia" w:ascii="Times New Roman" w:hAnsi="Times New Roman" w:eastAsia="方正仿宋简体"/>
          <w:sz w:val="32"/>
          <w:szCs w:val="32"/>
          <w:lang w:eastAsia="zh-CN"/>
        </w:rPr>
        <w:t>通过</w:t>
      </w:r>
      <w:r>
        <w:rPr>
          <w:rFonts w:hint="eastAsia" w:ascii="Times New Roman" w:hAnsi="Times New Roman" w:eastAsia="方正仿宋简体"/>
          <w:sz w:val="32"/>
          <w:szCs w:val="32"/>
        </w:rPr>
        <w:t>化粪池处理后排入沙县城区污水处理厂处理</w:t>
      </w:r>
      <w:r>
        <w:rPr>
          <w:rFonts w:ascii="Times New Roman" w:hAnsi="Times New Roman" w:eastAsia="方正仿宋简体"/>
          <w:sz w:val="32"/>
          <w:szCs w:val="32"/>
        </w:rPr>
        <w:t>。</w:t>
      </w:r>
    </w:p>
    <w:p w14:paraId="2D32D243">
      <w:pPr>
        <w:spacing w:line="57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㈡加强大气污染防治。造型废气经“袋式除尘器+1根15m高排气筒”排放；熔炼、精炼废气经“袋式除尘器+1根15m高排气筒”排放；落砂废气经“袋式除尘器+1根15m高排气筒”排放；砂再生废气经“袋式除尘器+1根15m高排气筒”排放；1#抛丸废气经“袋式除尘器+1根15m高排气筒”排放；2#抛丸废气经“袋式除尘器+1根15m高排气筒”排放；喷漆废气经“水帘喷漆柜+干式过滤器+活性炭装置+1根15m高排气筒”排放；1#切割废气经“袋式除尘器+1根15m高排气筒”排放；油烟废气经集气罩收集后通过静电式油烟净化器+</w:t>
      </w:r>
      <w:r>
        <w:rPr>
          <w:rFonts w:hint="eastAsia" w:ascii="Times New Roman" w:hAnsi="Times New Roman" w:eastAsia="方正仿宋简体"/>
          <w:sz w:val="32"/>
          <w:szCs w:val="32"/>
          <w:lang w:val="en-US" w:eastAsia="zh-CN"/>
        </w:rPr>
        <w:t>20</w:t>
      </w:r>
      <w:r>
        <w:rPr>
          <w:rFonts w:hint="eastAsia" w:ascii="Times New Roman" w:hAnsi="Times New Roman" w:eastAsia="方正仿宋简体"/>
          <w:sz w:val="32"/>
          <w:szCs w:val="32"/>
        </w:rPr>
        <w:t>m高排气筒排放</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项目防护距离为50m，防护距离区域内不得有居民区、学校、医院等环境敏感目标。</w:t>
      </w:r>
    </w:p>
    <w:p w14:paraId="07575ED6">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㈢加强噪声污染防治。</w:t>
      </w:r>
      <w:r>
        <w:rPr>
          <w:rFonts w:hint="eastAsia" w:ascii="Times New Roman" w:hAnsi="Times New Roman" w:eastAsia="方正仿宋简体"/>
          <w:sz w:val="32"/>
          <w:szCs w:val="32"/>
        </w:rPr>
        <w:t>应优先选用低噪声设备，合理布局，加强设备的日常维护管理，确保厂界噪声达标。</w:t>
      </w:r>
    </w:p>
    <w:p w14:paraId="467D1622">
      <w:pPr>
        <w:widowControl/>
        <w:spacing w:line="570" w:lineRule="exact"/>
        <w:ind w:firstLine="630"/>
        <w:rPr>
          <w:rFonts w:hint="eastAsia" w:ascii="仿宋_GB2312" w:hAnsi="仿宋_GB2312" w:eastAsia="仿宋_GB2312" w:cs="仿宋_GB2312"/>
          <w:spacing w:val="-12"/>
          <w:kern w:val="32"/>
          <w:sz w:val="32"/>
          <w:szCs w:val="32"/>
        </w:rPr>
      </w:pPr>
      <w:r>
        <w:rPr>
          <w:rFonts w:ascii="Times New Roman" w:hAnsi="Times New Roman" w:eastAsia="方正仿宋简体"/>
          <w:sz w:val="32"/>
          <w:szCs w:val="32"/>
        </w:rPr>
        <w:t>㈣加强固体废物污染防</w:t>
      </w:r>
      <w:r>
        <w:rPr>
          <w:rFonts w:hint="eastAsia" w:ascii="Times New Roman" w:hAnsi="Times New Roman" w:eastAsia="方正仿宋简体"/>
          <w:sz w:val="32"/>
          <w:szCs w:val="32"/>
        </w:rPr>
        <w:t>治。生活垃圾由环卫部门统一清运；一般工业固废主要有炉渣、废砂、布袋除尘器回收尘、废中性炉料分类收集后综合利用；废活性炭</w:t>
      </w:r>
      <w:r>
        <w:rPr>
          <w:rFonts w:hint="eastAsia" w:ascii="Times New Roman" w:hAnsi="Times New Roman" w:eastAsia="方正仿宋简体"/>
          <w:sz w:val="32"/>
          <w:szCs w:val="32"/>
          <w:lang w:eastAsia="zh-CN"/>
        </w:rPr>
        <w:t>等危险废物</w:t>
      </w:r>
      <w:r>
        <w:rPr>
          <w:rFonts w:hint="eastAsia" w:ascii="Times New Roman" w:hAnsi="Times New Roman" w:eastAsia="方正仿宋简体"/>
          <w:sz w:val="32"/>
          <w:szCs w:val="32"/>
        </w:rPr>
        <w:t>经集中收集后暂存于厂区危废暂存间，由有资质的单位进行处理。</w:t>
      </w:r>
    </w:p>
    <w:p w14:paraId="0572BFFA">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14:paraId="7A4692E2">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14:paraId="3F47E615">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14:paraId="169F596B">
      <w:pPr>
        <w:widowControl/>
        <w:spacing w:line="570" w:lineRule="exact"/>
        <w:rPr>
          <w:rFonts w:ascii="Times New Roman" w:hAnsi="Times New Roman" w:eastAsia="方正仿宋简体"/>
          <w:kern w:val="0"/>
          <w:sz w:val="32"/>
          <w:szCs w:val="32"/>
        </w:rPr>
      </w:pPr>
    </w:p>
    <w:p w14:paraId="71A57C14">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14:paraId="0311E6D9">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w:t>
      </w:r>
      <w:r>
        <w:rPr>
          <w:rFonts w:hint="eastAsia" w:ascii="Times New Roman" w:hAnsi="Times New Roman" w:eastAsia="方正仿宋简体"/>
          <w:kern w:val="0"/>
          <w:sz w:val="32"/>
          <w:szCs w:val="32"/>
          <w:lang w:val="en-US" w:eastAsia="zh-CN"/>
        </w:rPr>
        <w:t>5</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2</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6</w:t>
      </w:r>
      <w:r>
        <w:rPr>
          <w:rFonts w:ascii="Times New Roman" w:hAnsi="Times New Roman" w:eastAsia="方正仿宋简体"/>
          <w:kern w:val="0"/>
          <w:sz w:val="32"/>
          <w:szCs w:val="32"/>
        </w:rPr>
        <w:t>日</w:t>
      </w:r>
    </w:p>
    <w:p w14:paraId="0F9B107E">
      <w:pPr>
        <w:spacing w:line="570" w:lineRule="exact"/>
        <w:rPr>
          <w:rFonts w:ascii="Times New Roman" w:hAnsi="Times New Roman" w:eastAsia="方正仿宋简体"/>
          <w:kern w:val="0"/>
          <w:sz w:val="32"/>
          <w:szCs w:val="32"/>
        </w:rPr>
      </w:pPr>
    </w:p>
    <w:p w14:paraId="17526D15">
      <w:pPr>
        <w:spacing w:line="570" w:lineRule="exact"/>
      </w:pPr>
      <w:bookmarkStart w:id="0" w:name="_GoBack"/>
      <w:bookmarkEnd w:id="0"/>
      <w:r>
        <w:rPr>
          <w:rFonts w:ascii="Times New Roman" w:hAnsi="Times New Roman" w:eastAsia="方正仿宋简体"/>
          <w:kern w:val="0"/>
          <w:sz w:val="32"/>
          <w:szCs w:val="32"/>
        </w:rPr>
        <w:t>（此件主动公开）</w:t>
      </w:r>
    </w:p>
    <w:p w14:paraId="092E34DC">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o:preferrelative="t" coordsize="21600,21600">
            <v:path arrowok="t"/>
            <v:fill focussize="0,0"/>
            <v:stroke miterlimit="2"/>
            <v:imagedata o:title=""/>
            <o:lock v:ext="edit"/>
          </v:line>
        </w:pict>
      </w:r>
    </w:p>
    <w:p w14:paraId="2BD8DE49">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rPr>
        <w:t>三明高新技术产业开发区管理委员会，区发改局、工信科技局、应急局，区消防大队，泉州环兴环保科技有限公司。</w:t>
      </w:r>
    </w:p>
    <w:p w14:paraId="3F6DE843">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2025年</w:t>
      </w:r>
      <w:r>
        <w:rPr>
          <w:rFonts w:hint="eastAsia" w:ascii="Times New Roman" w:hAnsi="Times New Roman" w:eastAsia="方正仿宋简体"/>
          <w:kern w:val="0"/>
          <w:sz w:val="28"/>
          <w:szCs w:val="28"/>
          <w:lang w:val="en-US" w:eastAsia="zh-CN"/>
        </w:rPr>
        <w:t>2</w:t>
      </w:r>
      <w:r>
        <w:rPr>
          <w:rFonts w:hint="eastAsia" w:ascii="Times New Roman" w:hAnsi="Times New Roman" w:eastAsia="方正仿宋简体"/>
          <w:kern w:val="0"/>
          <w:sz w:val="28"/>
          <w:szCs w:val="28"/>
        </w:rPr>
        <w:t>月</w:t>
      </w:r>
      <w:r>
        <w:rPr>
          <w:rFonts w:hint="eastAsia" w:ascii="Times New Roman" w:hAnsi="Times New Roman" w:eastAsia="方正仿宋简体"/>
          <w:kern w:val="0"/>
          <w:sz w:val="28"/>
          <w:szCs w:val="28"/>
          <w:lang w:val="en-US" w:eastAsia="zh-CN"/>
        </w:rPr>
        <w:t>6</w:t>
      </w:r>
      <w:r>
        <w:rPr>
          <w:rFonts w:hint="eastAsia" w:ascii="Times New Roman" w:hAnsi="Times New Roman" w:eastAsia="方正仿宋简体"/>
          <w:kern w:val="0"/>
          <w:sz w:val="28"/>
          <w:szCs w:val="28"/>
        </w:rPr>
        <w:t>日</w:t>
      </w:r>
      <w:r>
        <w:rPr>
          <w:rFonts w:ascii="Times New Roman" w:hAnsi="Times New Roman" w:eastAsia="方正仿宋简体"/>
          <w:kern w:val="0"/>
          <w:sz w:val="28"/>
          <w:szCs w:val="28"/>
        </w:rPr>
        <w:t>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53F4">
    <w:pPr>
      <w:pStyle w:val="11"/>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- 1 -</w:t>
    </w:r>
    <w:r>
      <w:rPr>
        <w:rStyle w:val="18"/>
        <w:rFonts w:ascii="方正仿宋简体" w:eastAsia="方正仿宋简体"/>
        <w:sz w:val="28"/>
        <w:szCs w:val="28"/>
      </w:rPr>
      <w:fldChar w:fldCharType="end"/>
    </w:r>
  </w:p>
  <w:p w14:paraId="04192F55">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4F9F">
    <w:pPr>
      <w:pStyle w:val="11"/>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14:paraId="03BC554C">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AECC">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462D99"/>
    <w:rsid w:val="004D1365"/>
    <w:rsid w:val="005D54F0"/>
    <w:rsid w:val="006429FA"/>
    <w:rsid w:val="006462ED"/>
    <w:rsid w:val="00660C3A"/>
    <w:rsid w:val="00706573"/>
    <w:rsid w:val="00720C81"/>
    <w:rsid w:val="008E4AD4"/>
    <w:rsid w:val="00A95B51"/>
    <w:rsid w:val="00B1451C"/>
    <w:rsid w:val="00FD00AC"/>
    <w:rsid w:val="014B7296"/>
    <w:rsid w:val="02986AC6"/>
    <w:rsid w:val="04411BD7"/>
    <w:rsid w:val="059C6826"/>
    <w:rsid w:val="07496CCE"/>
    <w:rsid w:val="08C478EE"/>
    <w:rsid w:val="09DB3168"/>
    <w:rsid w:val="0A203CA8"/>
    <w:rsid w:val="0D956115"/>
    <w:rsid w:val="10BC1D00"/>
    <w:rsid w:val="14A4387E"/>
    <w:rsid w:val="155248DD"/>
    <w:rsid w:val="1A580641"/>
    <w:rsid w:val="1CE633A0"/>
    <w:rsid w:val="1CFD6A44"/>
    <w:rsid w:val="1F2604E0"/>
    <w:rsid w:val="1F8100F4"/>
    <w:rsid w:val="237A6EBD"/>
    <w:rsid w:val="24DC7127"/>
    <w:rsid w:val="25DC74D4"/>
    <w:rsid w:val="2D051137"/>
    <w:rsid w:val="2FBE7814"/>
    <w:rsid w:val="33B9459B"/>
    <w:rsid w:val="34F34F5A"/>
    <w:rsid w:val="35002EE0"/>
    <w:rsid w:val="358B58CD"/>
    <w:rsid w:val="35BA3DFA"/>
    <w:rsid w:val="398A6189"/>
    <w:rsid w:val="3B336BD2"/>
    <w:rsid w:val="3D576952"/>
    <w:rsid w:val="3F124C2C"/>
    <w:rsid w:val="3F6D6119"/>
    <w:rsid w:val="444C2E64"/>
    <w:rsid w:val="45132AAF"/>
    <w:rsid w:val="47FA3FC4"/>
    <w:rsid w:val="49AB5A2E"/>
    <w:rsid w:val="4BD66201"/>
    <w:rsid w:val="4CCF20E6"/>
    <w:rsid w:val="4FAE4DE6"/>
    <w:rsid w:val="50F70BD7"/>
    <w:rsid w:val="52FF52F8"/>
    <w:rsid w:val="54280B64"/>
    <w:rsid w:val="54FB75FB"/>
    <w:rsid w:val="571F3F93"/>
    <w:rsid w:val="575B008C"/>
    <w:rsid w:val="5BC13296"/>
    <w:rsid w:val="5E0A37A4"/>
    <w:rsid w:val="5FAA42E4"/>
    <w:rsid w:val="6114089B"/>
    <w:rsid w:val="640229B5"/>
    <w:rsid w:val="6662787B"/>
    <w:rsid w:val="68E325CC"/>
    <w:rsid w:val="69421289"/>
    <w:rsid w:val="6AC9386F"/>
    <w:rsid w:val="6AF05195"/>
    <w:rsid w:val="6B9841AA"/>
    <w:rsid w:val="6DFE693E"/>
    <w:rsid w:val="6E1108C0"/>
    <w:rsid w:val="6E8E1310"/>
    <w:rsid w:val="6EA85649"/>
    <w:rsid w:val="703D33CF"/>
    <w:rsid w:val="73462428"/>
    <w:rsid w:val="7436549D"/>
    <w:rsid w:val="75070127"/>
    <w:rsid w:val="78F44C22"/>
    <w:rsid w:val="7AC45CD4"/>
    <w:rsid w:val="7DB03D5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unhideWhenUsed/>
    <w:qFormat/>
    <w:uiPriority w:val="99"/>
    <w:pPr>
      <w:ind w:firstLine="420" w:firstLineChars="100"/>
    </w:pPr>
  </w:style>
  <w:style w:type="paragraph" w:styleId="3">
    <w:name w:val="Body Text"/>
    <w:basedOn w:val="1"/>
    <w:next w:val="4"/>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4">
    <w:name w:val="Note Heading"/>
    <w:basedOn w:val="1"/>
    <w:next w:val="1"/>
    <w:qFormat/>
    <w:uiPriority w:val="0"/>
    <w:pPr>
      <w:jc w:val="center"/>
    </w:pPr>
  </w:style>
  <w:style w:type="paragraph" w:styleId="6">
    <w:name w:val="annotation text"/>
    <w:basedOn w:val="1"/>
    <w:link w:val="31"/>
    <w:semiHidden/>
    <w:qFormat/>
    <w:uiPriority w:val="99"/>
    <w:pPr>
      <w:jc w:val="left"/>
    </w:pPr>
  </w:style>
  <w:style w:type="paragraph" w:styleId="7">
    <w:name w:val="Body Text Indent"/>
    <w:basedOn w:val="1"/>
    <w:qFormat/>
    <w:uiPriority w:val="0"/>
    <w:pPr>
      <w:snapToGrid w:val="0"/>
      <w:spacing w:line="560" w:lineRule="exact"/>
      <w:ind w:firstLine="600"/>
    </w:pPr>
    <w:rPr>
      <w:rFonts w:ascii="宋体" w:hAnsi="宋体"/>
      <w:color w:val="000000"/>
      <w:sz w:val="30"/>
    </w:rPr>
  </w:style>
  <w:style w:type="paragraph" w:styleId="8">
    <w:name w:val="Date"/>
    <w:basedOn w:val="1"/>
    <w:next w:val="1"/>
    <w:link w:val="35"/>
    <w:qFormat/>
    <w:uiPriority w:val="99"/>
    <w:pPr>
      <w:ind w:left="100" w:leftChars="2500"/>
    </w:pPr>
  </w:style>
  <w:style w:type="paragraph" w:styleId="9">
    <w:name w:val="Body Text Indent 2"/>
    <w:basedOn w:val="1"/>
    <w:link w:val="34"/>
    <w:qFormat/>
    <w:uiPriority w:val="99"/>
    <w:pPr>
      <w:spacing w:after="120" w:line="480" w:lineRule="auto"/>
      <w:ind w:left="420" w:leftChars="200"/>
    </w:pPr>
  </w:style>
  <w:style w:type="paragraph" w:styleId="10">
    <w:name w:val="Balloon Text"/>
    <w:basedOn w:val="1"/>
    <w:link w:val="33"/>
    <w:semiHidden/>
    <w:qFormat/>
    <w:uiPriority w:val="99"/>
    <w:rPr>
      <w:sz w:val="18"/>
      <w:szCs w:val="18"/>
    </w:rPr>
  </w:style>
  <w:style w:type="paragraph" w:styleId="11">
    <w:name w:val="footer"/>
    <w:basedOn w:val="1"/>
    <w:link w:val="30"/>
    <w:semiHidden/>
    <w:qFormat/>
    <w:uiPriority w:val="99"/>
    <w:pPr>
      <w:tabs>
        <w:tab w:val="center" w:pos="4153"/>
        <w:tab w:val="right" w:pos="8306"/>
      </w:tabs>
      <w:snapToGrid w:val="0"/>
      <w:jc w:val="left"/>
    </w:pPr>
    <w:rPr>
      <w:sz w:val="18"/>
      <w:szCs w:val="18"/>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32"/>
    <w:semiHidden/>
    <w:qFormat/>
    <w:uiPriority w:val="99"/>
    <w:rPr>
      <w:b/>
      <w:bCs/>
    </w:rPr>
  </w:style>
  <w:style w:type="paragraph" w:styleId="15">
    <w:name w:val="Body Text First Indent 2"/>
    <w:basedOn w:val="7"/>
    <w:next w:val="2"/>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autoRedefine/>
    <w:qFormat/>
    <w:locked/>
    <w:uiPriority w:val="0"/>
    <w:rPr>
      <w:i/>
    </w:rPr>
  </w:style>
  <w:style w:type="character" w:styleId="20">
    <w:name w:val="annotation reference"/>
    <w:basedOn w:val="17"/>
    <w:autoRedefine/>
    <w:semiHidden/>
    <w:qFormat/>
    <w:uiPriority w:val="99"/>
    <w:rPr>
      <w:rFonts w:cs="Times New Roman"/>
      <w:sz w:val="21"/>
      <w:szCs w:val="21"/>
    </w:rPr>
  </w:style>
  <w:style w:type="paragraph" w:customStyle="1" w:styleId="21">
    <w:name w:val="正文(首行缩进)"/>
    <w:basedOn w:val="1"/>
    <w:autoRedefine/>
    <w:qFormat/>
    <w:uiPriority w:val="0"/>
    <w:pPr>
      <w:adjustRightInd w:val="0"/>
      <w:snapToGrid w:val="0"/>
      <w:spacing w:line="360" w:lineRule="auto"/>
      <w:ind w:firstLine="200" w:firstLineChars="200"/>
    </w:pPr>
    <w:rPr>
      <w:snapToGrid w:val="0"/>
      <w:szCs w:val="24"/>
    </w:rPr>
  </w:style>
  <w:style w:type="paragraph" w:customStyle="1" w:styleId="22">
    <w:name w:val="_Style 2"/>
    <w:basedOn w:val="1"/>
    <w:autoRedefine/>
    <w:qFormat/>
    <w:uiPriority w:val="99"/>
    <w:pPr>
      <w:spacing w:line="360" w:lineRule="auto"/>
      <w:ind w:firstLine="200" w:firstLineChars="200"/>
    </w:pPr>
    <w:rPr>
      <w:rFonts w:ascii="Times New Roman" w:hAnsi="Times New Roman"/>
      <w:szCs w:val="24"/>
    </w:rPr>
  </w:style>
  <w:style w:type="paragraph" w:customStyle="1" w:styleId="23">
    <w:name w:val="列出段落1"/>
    <w:basedOn w:val="1"/>
    <w:autoRedefine/>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autoRedefine/>
    <w:qFormat/>
    <w:uiPriority w:val="0"/>
    <w:pPr>
      <w:spacing w:line="360" w:lineRule="auto"/>
      <w:ind w:firstLine="480" w:firstLineChars="200"/>
    </w:pPr>
    <w:rPr>
      <w:color w:val="000000"/>
      <w:sz w:val="24"/>
    </w:rPr>
  </w:style>
  <w:style w:type="paragraph" w:customStyle="1" w:styleId="26">
    <w:name w:val="0文本"/>
    <w:autoRedefine/>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3"/>
    <w:semiHidden/>
    <w:qFormat/>
    <w:locked/>
    <w:uiPriority w:val="99"/>
    <w:rPr>
      <w:rFonts w:ascii="宋体" w:hAnsi="宋体" w:eastAsia="宋体" w:cs="宋体"/>
      <w:spacing w:val="48"/>
      <w:kern w:val="0"/>
      <w:sz w:val="24"/>
      <w:szCs w:val="24"/>
    </w:rPr>
  </w:style>
  <w:style w:type="character" w:customStyle="1" w:styleId="29">
    <w:name w:val="页眉 Char"/>
    <w:basedOn w:val="17"/>
    <w:link w:val="12"/>
    <w:semiHidden/>
    <w:qFormat/>
    <w:locked/>
    <w:uiPriority w:val="99"/>
    <w:rPr>
      <w:rFonts w:cs="Times New Roman"/>
      <w:kern w:val="2"/>
      <w:sz w:val="18"/>
      <w:szCs w:val="18"/>
    </w:rPr>
  </w:style>
  <w:style w:type="character" w:customStyle="1" w:styleId="30">
    <w:name w:val="页脚 Char"/>
    <w:basedOn w:val="17"/>
    <w:link w:val="11"/>
    <w:autoRedefine/>
    <w:semiHidden/>
    <w:qFormat/>
    <w:locked/>
    <w:uiPriority w:val="99"/>
    <w:rPr>
      <w:rFonts w:cs="Times New Roman"/>
      <w:kern w:val="2"/>
      <w:sz w:val="18"/>
      <w:szCs w:val="18"/>
    </w:rPr>
  </w:style>
  <w:style w:type="character" w:customStyle="1" w:styleId="31">
    <w:name w:val="批注文字 Char"/>
    <w:basedOn w:val="17"/>
    <w:link w:val="6"/>
    <w:autoRedefine/>
    <w:semiHidden/>
    <w:qFormat/>
    <w:locked/>
    <w:uiPriority w:val="99"/>
    <w:rPr>
      <w:rFonts w:cs="Times New Roman"/>
    </w:rPr>
  </w:style>
  <w:style w:type="character" w:customStyle="1" w:styleId="32">
    <w:name w:val="批注主题 Char"/>
    <w:basedOn w:val="31"/>
    <w:link w:val="14"/>
    <w:semiHidden/>
    <w:qFormat/>
    <w:locked/>
    <w:uiPriority w:val="99"/>
    <w:rPr>
      <w:b/>
      <w:bCs/>
    </w:rPr>
  </w:style>
  <w:style w:type="character" w:customStyle="1" w:styleId="33">
    <w:name w:val="批注框文本 Char"/>
    <w:basedOn w:val="17"/>
    <w:link w:val="10"/>
    <w:semiHidden/>
    <w:qFormat/>
    <w:locked/>
    <w:uiPriority w:val="99"/>
    <w:rPr>
      <w:rFonts w:cs="Times New Roman"/>
      <w:sz w:val="2"/>
    </w:rPr>
  </w:style>
  <w:style w:type="character" w:customStyle="1" w:styleId="34">
    <w:name w:val="正文文本缩进 2 Char"/>
    <w:basedOn w:val="17"/>
    <w:link w:val="9"/>
    <w:semiHidden/>
    <w:qFormat/>
    <w:locked/>
    <w:uiPriority w:val="99"/>
    <w:rPr>
      <w:rFonts w:cs="Times New Roman"/>
    </w:rPr>
  </w:style>
  <w:style w:type="character" w:customStyle="1" w:styleId="35">
    <w:name w:val="日期 Char"/>
    <w:basedOn w:val="17"/>
    <w:link w:val="8"/>
    <w:semiHidden/>
    <w:qFormat/>
    <w:locked/>
    <w:uiPriority w:val="99"/>
    <w:rPr>
      <w:rFonts w:cs="Times New Roman"/>
    </w:rPr>
  </w:style>
  <w:style w:type="character" w:customStyle="1" w:styleId="36">
    <w:name w:val="标题 1 Char"/>
    <w:basedOn w:val="17"/>
    <w:link w:val="5"/>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1502</Words>
  <Characters>1556</Characters>
  <Lines>11</Lines>
  <Paragraphs>3</Paragraphs>
  <TotalTime>14</TotalTime>
  <ScaleCrop>false</ScaleCrop>
  <LinksUpToDate>false</LinksUpToDate>
  <CharactersWithSpaces>1569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泥巴</cp:lastModifiedBy>
  <cp:lastPrinted>2025-01-13T01:00:00Z</cp:lastPrinted>
  <dcterms:modified xsi:type="dcterms:W3CDTF">2025-02-06T01:21:02Z</dcterms:modified>
  <dc:title>沙环函〔2014〕18号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241D04FCA1F44FD98E8C60CA6F83ED87</vt:lpwstr>
  </property>
  <property fmtid="{D5CDD505-2E9C-101B-9397-08002B2CF9AE}" pid="4" name="KSOTemplateDocerSaveRecord">
    <vt:lpwstr>eyJoZGlkIjoiMGRlYWVhOTU4NDBmMzViYjZiNTNiZjA5YzA4YTdjOTgiLCJ1c2VySWQiOiI5MzA4NzIxNzQifQ==</vt:lpwstr>
  </property>
</Properties>
</file>