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0FB6C">
      <w:pPr>
        <w:rPr>
          <w:rFonts w:hint="default" w:eastAsia="仿宋_GB2312"/>
          <w:sz w:val="32"/>
          <w:lang w:val="en-US" w:eastAsia="zh-CN"/>
        </w:rPr>
      </w:pPr>
      <w:bookmarkStart w:id="0" w:name="_GoBack"/>
      <w:bookmarkEnd w:id="0"/>
      <w:r>
        <w:rPr>
          <w:rFonts w:hint="eastAsia" w:eastAsia="仿宋_GB2312"/>
          <w:sz w:val="32"/>
          <w:lang w:val="en-US" w:eastAsia="zh-CN"/>
        </w:rPr>
        <w:t xml:space="preserve">                                                                                                                                                                                                                   </w:t>
      </w:r>
    </w:p>
    <w:p w14:paraId="75265F53">
      <w:pPr>
        <w:pStyle w:val="6"/>
      </w:pPr>
    </w:p>
    <w:p w14:paraId="13470197">
      <w:pPr>
        <w:pStyle w:val="14"/>
        <w:ind w:firstLine="336"/>
      </w:pPr>
    </w:p>
    <w:p w14:paraId="5CF65DD4">
      <w:pPr>
        <w:jc w:val="right"/>
        <w:rPr>
          <w:rFonts w:ascii="Times New Roman" w:hAnsi="Times New Roman" w:eastAsia="仿宋_GB2312"/>
          <w:sz w:val="32"/>
        </w:rPr>
      </w:pPr>
    </w:p>
    <w:p w14:paraId="4EE735F5">
      <w:pPr>
        <w:pStyle w:val="6"/>
      </w:pPr>
    </w:p>
    <w:p w14:paraId="32C90937">
      <w:pPr>
        <w:pStyle w:val="6"/>
      </w:pPr>
    </w:p>
    <w:p w14:paraId="53376FC5">
      <w:pPr>
        <w:keepNext w:val="0"/>
        <w:keepLines w:val="0"/>
        <w:pageBreakBefore w:val="0"/>
        <w:widowControl/>
        <w:kinsoku/>
        <w:wordWrap/>
        <w:overflowPunct/>
        <w:topLinePunct w:val="0"/>
        <w:autoSpaceDE/>
        <w:autoSpaceDN/>
        <w:bidi w:val="0"/>
        <w:adjustRightInd/>
        <w:snapToGrid/>
        <w:spacing w:line="540" w:lineRule="exact"/>
        <w:ind w:firstLine="630"/>
        <w:jc w:val="righ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明环评沙函〔202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lang w:eastAsia="zh-CN"/>
        </w:rPr>
        <w:t>号</w:t>
      </w:r>
    </w:p>
    <w:p w14:paraId="4049DC6B">
      <w:pPr>
        <w:spacing w:line="500" w:lineRule="exact"/>
        <w:rPr>
          <w:rFonts w:ascii="Times New Roman" w:hAnsi="Times New Roman" w:eastAsia="仿宋_GB2312"/>
          <w:kern w:val="0"/>
          <w:sz w:val="32"/>
          <w:szCs w:val="32"/>
        </w:rPr>
      </w:pPr>
    </w:p>
    <w:p w14:paraId="56271B98">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kern w:val="0"/>
          <w:sz w:val="44"/>
          <w:szCs w:val="44"/>
          <w:lang w:eastAsia="zh-CN"/>
        </w:rPr>
      </w:pPr>
      <w:r>
        <w:rPr>
          <w:rFonts w:ascii="Times New Roman" w:hAnsi="Times New Roman" w:eastAsia="方正小标宋简体"/>
          <w:kern w:val="0"/>
          <w:sz w:val="44"/>
          <w:szCs w:val="44"/>
        </w:rPr>
        <w:t>三明市生态环境局关于</w:t>
      </w:r>
      <w:r>
        <w:rPr>
          <w:rFonts w:hint="eastAsia" w:ascii="Times New Roman" w:hAnsi="Times New Roman" w:eastAsia="方正小标宋简体"/>
          <w:kern w:val="0"/>
          <w:sz w:val="44"/>
          <w:szCs w:val="44"/>
          <w:lang w:eastAsia="zh-CN"/>
        </w:rPr>
        <w:t>三明市圣龙食品</w:t>
      </w:r>
    </w:p>
    <w:p w14:paraId="05307100">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kern w:val="0"/>
          <w:sz w:val="44"/>
          <w:szCs w:val="44"/>
        </w:rPr>
      </w:pPr>
      <w:r>
        <w:rPr>
          <w:rFonts w:hint="eastAsia" w:ascii="Times New Roman" w:hAnsi="Times New Roman" w:eastAsia="方正小标宋简体"/>
          <w:kern w:val="0"/>
          <w:sz w:val="44"/>
          <w:szCs w:val="44"/>
          <w:lang w:eastAsia="zh-CN"/>
        </w:rPr>
        <w:t>有限公司预制菜智能化生产项目</w:t>
      </w:r>
    </w:p>
    <w:p w14:paraId="1F3DD8EA">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kern w:val="0"/>
          <w:sz w:val="44"/>
          <w:szCs w:val="44"/>
        </w:rPr>
      </w:pPr>
      <w:r>
        <w:rPr>
          <w:rFonts w:ascii="Times New Roman" w:hAnsi="Times New Roman" w:eastAsia="方正小标宋简体"/>
          <w:kern w:val="0"/>
          <w:sz w:val="44"/>
          <w:szCs w:val="44"/>
        </w:rPr>
        <w:t>环境影响</w:t>
      </w:r>
      <w:r>
        <w:rPr>
          <w:rFonts w:hint="eastAsia" w:ascii="Times New Roman" w:hAnsi="Times New Roman" w:eastAsia="方正小标宋简体"/>
          <w:kern w:val="0"/>
          <w:sz w:val="44"/>
          <w:szCs w:val="44"/>
        </w:rPr>
        <w:t>报告表</w:t>
      </w:r>
      <w:r>
        <w:rPr>
          <w:rFonts w:ascii="Times New Roman" w:hAnsi="Times New Roman" w:eastAsia="方正小标宋简体"/>
          <w:kern w:val="0"/>
          <w:sz w:val="44"/>
          <w:szCs w:val="44"/>
        </w:rPr>
        <w:t>的批复</w:t>
      </w:r>
    </w:p>
    <w:p w14:paraId="44D02E1D">
      <w:pPr>
        <w:keepNext w:val="0"/>
        <w:keepLines w:val="0"/>
        <w:pageBreakBefore w:val="0"/>
        <w:widowControl/>
        <w:kinsoku/>
        <w:wordWrap/>
        <w:overflowPunct/>
        <w:topLinePunct w:val="0"/>
        <w:autoSpaceDE/>
        <w:autoSpaceDN/>
        <w:bidi w:val="0"/>
        <w:adjustRightInd/>
        <w:snapToGrid/>
        <w:spacing w:line="400" w:lineRule="exact"/>
        <w:textAlignment w:val="auto"/>
        <w:rPr>
          <w:rFonts w:ascii="Times New Roman" w:hAnsi="Times New Roman" w:eastAsia="方正仿宋简体"/>
          <w:kern w:val="0"/>
          <w:sz w:val="32"/>
          <w:szCs w:val="32"/>
        </w:rPr>
      </w:pPr>
    </w:p>
    <w:p w14:paraId="4B7179DC">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三明市圣龙食品有限公司</w:t>
      </w:r>
      <w:r>
        <w:rPr>
          <w:rFonts w:hint="eastAsia" w:ascii="仿宋_GB2312" w:hAnsi="仿宋_GB2312" w:eastAsia="仿宋_GB2312" w:cs="仿宋_GB2312"/>
          <w:kern w:val="0"/>
          <w:sz w:val="32"/>
          <w:szCs w:val="32"/>
        </w:rPr>
        <w:t>：</w:t>
      </w:r>
    </w:p>
    <w:p w14:paraId="0B923624">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报送的《</w:t>
      </w:r>
      <w:r>
        <w:rPr>
          <w:rFonts w:hint="eastAsia" w:ascii="仿宋_GB2312" w:hAnsi="仿宋_GB2312" w:eastAsia="仿宋_GB2312" w:cs="仿宋_GB2312"/>
          <w:kern w:val="0"/>
          <w:sz w:val="32"/>
          <w:szCs w:val="32"/>
          <w:lang w:eastAsia="zh-CN"/>
        </w:rPr>
        <w:t>三明市圣龙食品有限公司预制菜智能化生产项目</w:t>
      </w:r>
      <w:r>
        <w:rPr>
          <w:rFonts w:hint="eastAsia" w:ascii="仿宋_GB2312" w:hAnsi="仿宋_GB2312" w:eastAsia="仿宋_GB2312" w:cs="仿宋_GB2312"/>
          <w:kern w:val="0"/>
          <w:sz w:val="32"/>
          <w:szCs w:val="32"/>
        </w:rPr>
        <w:t>环境影响报告表》（以下简称“报告表”）和申请审批的函收悉。我局于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日</w:t>
      </w:r>
      <w:r>
        <w:rPr>
          <w:rFonts w:hint="eastAsia" w:ascii="仿宋_GB2312" w:hAnsi="仿宋_GB2312" w:eastAsia="仿宋_GB2312" w:cs="仿宋_GB2312"/>
          <w:kern w:val="0"/>
          <w:sz w:val="32"/>
          <w:szCs w:val="32"/>
        </w:rPr>
        <w:t>受理该报告表的审批申请，在沙县区人民政府门户网站对受理情况进行公开，并将报告表全本公示；于202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16</w:t>
      </w:r>
      <w:r>
        <w:rPr>
          <w:rFonts w:hint="eastAsia" w:ascii="仿宋_GB2312" w:hAnsi="仿宋_GB2312" w:eastAsia="仿宋_GB2312" w:cs="仿宋_GB2312"/>
          <w:kern w:val="0"/>
          <w:sz w:val="32"/>
          <w:szCs w:val="32"/>
        </w:rPr>
        <w:t>日在沙县区人民政府门户网站对报告表拟作出的审批意见进行公开；上述公示、公开期间，我局未收到关于本报告表的意见。在审查过程中，因该报告表部分内容需进一步补充、完善，</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14</w:t>
      </w:r>
      <w:r>
        <w:rPr>
          <w:rFonts w:hint="eastAsia" w:ascii="仿宋_GB2312" w:hAnsi="仿宋_GB2312" w:eastAsia="仿宋_GB2312" w:cs="仿宋_GB2312"/>
          <w:kern w:val="0"/>
          <w:sz w:val="32"/>
          <w:szCs w:val="32"/>
        </w:rPr>
        <w:t>日申请暂停审批流程</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日</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重新提交修改完善的报告表，我局重启办件。经研究，对该项目环境影响报告表批复如下</w:t>
      </w:r>
      <w:r>
        <w:rPr>
          <w:rFonts w:hint="eastAsia" w:ascii="方正仿宋简体" w:hAnsi="方正仿宋简体" w:eastAsia="方正仿宋简体" w:cs="方正仿宋简体"/>
          <w:kern w:val="0"/>
          <w:sz w:val="32"/>
          <w:szCs w:val="32"/>
        </w:rPr>
        <w:t>：</w:t>
      </w:r>
    </w:p>
    <w:p w14:paraId="299F6882">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rPr>
        <w:t>一、拟建项目选址于福建省三明市沙县区凤岗金明东路151号（三明高新技术产业开发区金沙园</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lang w:eastAsia="zh-CN"/>
        </w:rPr>
        <w:t>，建设规模为年产梅菜扣肉1310吨、半固体调料瓶403吨。</w:t>
      </w:r>
    </w:p>
    <w:p w14:paraId="0E6635F6">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根据报告表评价结论</w:t>
      </w:r>
      <w:r>
        <w:rPr>
          <w:rFonts w:hint="eastAsia" w:ascii="仿宋_GB2312" w:hAnsi="仿宋_GB2312" w:eastAsia="仿宋_GB2312" w:cs="仿宋_GB2312"/>
          <w:kern w:val="0"/>
          <w:sz w:val="32"/>
          <w:szCs w:val="32"/>
          <w:lang w:eastAsia="zh-CN"/>
        </w:rPr>
        <w:t>及专家技术评估意见</w:t>
      </w:r>
      <w:r>
        <w:rPr>
          <w:rFonts w:hint="eastAsia" w:ascii="仿宋_GB2312" w:hAnsi="仿宋_GB2312" w:eastAsia="仿宋_GB2312" w:cs="仿宋_GB2312"/>
          <w:kern w:val="0"/>
          <w:sz w:val="32"/>
          <w:szCs w:val="32"/>
        </w:rPr>
        <w:t>，项目建设符合《三明市生态环境局关于发布三明市2023年生态环境分区管控动态更新成果的通知》</w:t>
      </w:r>
      <w:r>
        <w:rPr>
          <w:rFonts w:hint="eastAsia" w:ascii="仿宋_GB2312" w:hAnsi="仿宋_GB2312" w:eastAsia="仿宋_GB2312" w:cs="仿宋_GB2312"/>
          <w:kern w:val="0"/>
          <w:sz w:val="32"/>
          <w:szCs w:val="32"/>
          <w:lang w:eastAsia="zh-CN"/>
        </w:rPr>
        <w:t>（明环规〔202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〕2号）</w:t>
      </w:r>
      <w:r>
        <w:rPr>
          <w:rFonts w:hint="eastAsia" w:ascii="仿宋_GB2312" w:hAnsi="仿宋_GB2312" w:eastAsia="仿宋_GB2312" w:cs="仿宋_GB2312"/>
          <w:kern w:val="0"/>
          <w:sz w:val="32"/>
          <w:szCs w:val="32"/>
        </w:rPr>
        <w:t>的要求，在全面落实报告表提出的各项污染防治措施后，项目建设对环境的不利影响能够得到缓解和控制。因此，我局从环境保护方面同意报告表中所列建设项目的性质、规模、地点、采用的生产工艺、生态环境保护和环境风险防范对策措施。</w:t>
      </w:r>
    </w:p>
    <w:p w14:paraId="177D334E">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二、在项目工程设计、建设和环境管理中，</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必须严格落实报告表提出的各项环保要求，并着重做好以下工作：</w:t>
      </w:r>
    </w:p>
    <w:p w14:paraId="04AF2061">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加强水污染防治。项目生活污水经化粪池处理后与食堂废水、生产废水</w:t>
      </w:r>
      <w:r>
        <w:rPr>
          <w:rFonts w:hint="eastAsia" w:ascii="仿宋_GB2312" w:hAnsi="仿宋_GB2312" w:eastAsia="仿宋_GB2312" w:cs="仿宋_GB2312"/>
          <w:kern w:val="0"/>
          <w:sz w:val="32"/>
          <w:szCs w:val="32"/>
          <w:lang w:eastAsia="zh-CN"/>
        </w:rPr>
        <w:t>一同</w:t>
      </w:r>
      <w:r>
        <w:rPr>
          <w:rFonts w:hint="eastAsia" w:ascii="仿宋_GB2312" w:hAnsi="仿宋_GB2312" w:eastAsia="仿宋_GB2312" w:cs="仿宋_GB2312"/>
          <w:kern w:val="0"/>
          <w:sz w:val="32"/>
          <w:szCs w:val="32"/>
        </w:rPr>
        <w:t>经自建污水处理站处理</w:t>
      </w:r>
      <w:r>
        <w:rPr>
          <w:rFonts w:hint="eastAsia" w:ascii="仿宋_GB2312" w:hAnsi="仿宋_GB2312" w:eastAsia="仿宋_GB2312" w:cs="仿宋_GB2312"/>
          <w:kern w:val="0"/>
          <w:sz w:val="32"/>
          <w:szCs w:val="32"/>
          <w:lang w:eastAsia="zh-CN"/>
        </w:rPr>
        <w:t>后</w:t>
      </w:r>
      <w:r>
        <w:rPr>
          <w:rFonts w:hint="eastAsia" w:ascii="仿宋_GB2312" w:hAnsi="仿宋_GB2312" w:eastAsia="仿宋_GB2312" w:cs="仿宋_GB2312"/>
          <w:kern w:val="0"/>
          <w:sz w:val="32"/>
          <w:szCs w:val="32"/>
        </w:rPr>
        <w:t>排入沙县城区污水处理厂处理</w:t>
      </w:r>
      <w:r>
        <w:rPr>
          <w:rFonts w:hint="eastAsia" w:ascii="仿宋_GB2312" w:hAnsi="仿宋_GB2312" w:eastAsia="仿宋_GB2312" w:cs="仿宋_GB2312"/>
          <w:spacing w:val="0"/>
          <w:kern w:val="0"/>
          <w:sz w:val="32"/>
          <w:szCs w:val="32"/>
          <w:lang w:val="en-US" w:eastAsia="zh-CN" w:bidi="ar-SA"/>
        </w:rPr>
        <w:t>。该项目不得建设直接向外环境水体排放污染物的排污口。</w:t>
      </w:r>
    </w:p>
    <w:p w14:paraId="1FEBA360">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（二）加强大气污染防治。</w:t>
      </w:r>
      <w:r>
        <w:rPr>
          <w:rFonts w:hint="eastAsia" w:ascii="仿宋_GB2312" w:hAnsi="仿宋_GB2312" w:eastAsia="仿宋_GB2312" w:cs="仿宋_GB2312"/>
          <w:kern w:val="0"/>
          <w:sz w:val="32"/>
          <w:szCs w:val="32"/>
        </w:rPr>
        <w:t>项目环境防护距离为污水站周边100</w:t>
      </w:r>
      <w:r>
        <w:rPr>
          <w:rFonts w:hint="eastAsia" w:ascii="仿宋_GB2312" w:hAnsi="仿宋_GB2312" w:eastAsia="仿宋_GB2312" w:cs="仿宋_GB2312"/>
          <w:kern w:val="0"/>
          <w:sz w:val="32"/>
          <w:szCs w:val="32"/>
          <w:lang w:val="en-US" w:eastAsia="zh-CN"/>
        </w:rPr>
        <w:t>米，</w:t>
      </w:r>
      <w:r>
        <w:rPr>
          <w:rFonts w:hint="eastAsia" w:ascii="仿宋_GB2312" w:hAnsi="仿宋_GB2312" w:eastAsia="仿宋_GB2312" w:cs="仿宋_GB2312"/>
          <w:kern w:val="0"/>
          <w:sz w:val="32"/>
          <w:szCs w:val="32"/>
        </w:rPr>
        <w:t>该区域现状无常住居民等敏感目标</w:t>
      </w:r>
      <w:r>
        <w:rPr>
          <w:rFonts w:hint="eastAsia" w:ascii="仿宋_GB2312" w:hAnsi="仿宋_GB2312" w:eastAsia="仿宋_GB2312" w:cs="仿宋_GB2312"/>
          <w:kern w:val="0"/>
          <w:sz w:val="32"/>
          <w:szCs w:val="32"/>
          <w:lang w:eastAsia="zh-CN"/>
        </w:rPr>
        <w:t>。炸、炒制等工序产生的油烟经收集处理后通过一根15米高排气筒排放</w:t>
      </w:r>
      <w:r>
        <w:rPr>
          <w:rFonts w:hint="eastAsia" w:ascii="仿宋_GB2312" w:hAnsi="仿宋_GB2312" w:eastAsia="仿宋_GB2312" w:cs="仿宋_GB2312"/>
          <w:kern w:val="0"/>
          <w:sz w:val="32"/>
          <w:szCs w:val="32"/>
          <w:lang w:val="en-US" w:eastAsia="zh-CN"/>
        </w:rPr>
        <w:t>；一台2吨/时天然气蒸汽锅炉烟气</w:t>
      </w:r>
      <w:r>
        <w:rPr>
          <w:rFonts w:hint="eastAsia" w:ascii="仿宋_GB2312" w:hAnsi="仿宋_GB2312" w:eastAsia="仿宋_GB2312" w:cs="仿宋_GB2312"/>
          <w:kern w:val="0"/>
          <w:sz w:val="32"/>
          <w:szCs w:val="32"/>
          <w:lang w:eastAsia="zh-CN"/>
        </w:rPr>
        <w:t>通过一根15米高排气筒排放；污水处理站废气经收集处理后通过一根15米高排气筒排放；食堂废气经处理后通过一根15米高排气筒排放。</w:t>
      </w:r>
    </w:p>
    <w:p w14:paraId="5C2A2DCC">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（三）加强噪声污染防治。</w:t>
      </w:r>
      <w:r>
        <w:rPr>
          <w:rFonts w:hint="eastAsia" w:ascii="仿宋_GB2312" w:hAnsi="仿宋_GB2312" w:eastAsia="仿宋_GB2312" w:cs="仿宋_GB2312"/>
          <w:kern w:val="0"/>
          <w:sz w:val="32"/>
          <w:szCs w:val="32"/>
        </w:rPr>
        <w:t>优先选用低噪声设备，优化</w:t>
      </w:r>
      <w:r>
        <w:rPr>
          <w:rFonts w:hint="eastAsia" w:ascii="仿宋_GB2312" w:hAnsi="仿宋_GB2312" w:eastAsia="仿宋_GB2312" w:cs="仿宋_GB2312"/>
          <w:kern w:val="0"/>
          <w:sz w:val="32"/>
          <w:szCs w:val="32"/>
          <w:lang w:eastAsia="zh-CN"/>
        </w:rPr>
        <w:t>厂区</w:t>
      </w:r>
      <w:r>
        <w:rPr>
          <w:rFonts w:hint="eastAsia" w:ascii="仿宋_GB2312" w:hAnsi="仿宋_GB2312" w:eastAsia="仿宋_GB2312" w:cs="仿宋_GB2312"/>
          <w:kern w:val="0"/>
          <w:sz w:val="32"/>
          <w:szCs w:val="32"/>
        </w:rPr>
        <w:t>平面布置，合理布置高噪声设备，对高噪声设备采取基础减振、隔声、消声等降噪措施，并加强机械设备的保养和维护，防止噪声扰民。</w:t>
      </w:r>
    </w:p>
    <w:p w14:paraId="03AD0C97">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加强固体废物污染防治。按照有关规定，对固体废物实施分类处理、处置，做到“资源化、减量化、无害化”。危险废物收集、贮存严格执行危险废物贮存相关污染控制标准；一般固体废物应进行综合处置，最大限度地减少最终处置量，不能回收利用的须按国家有关规定妥善贮存处置，不得产生二次污染</w:t>
      </w:r>
      <w:r>
        <w:rPr>
          <w:rFonts w:hint="eastAsia" w:ascii="仿宋_GB2312" w:hAnsi="仿宋_GB2312" w:eastAsia="仿宋_GB2312" w:cs="仿宋_GB2312"/>
          <w:kern w:val="0"/>
          <w:sz w:val="32"/>
          <w:szCs w:val="32"/>
        </w:rPr>
        <w:t>。</w:t>
      </w:r>
    </w:p>
    <w:p w14:paraId="5DBA118B">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（五）加强污染源管理工作。</w:t>
      </w:r>
      <w:r>
        <w:rPr>
          <w:rFonts w:hint="eastAsia" w:ascii="仿宋_GB2312" w:hAnsi="仿宋_GB2312" w:eastAsia="仿宋_GB2312" w:cs="仿宋_GB2312"/>
          <w:kern w:val="0"/>
          <w:sz w:val="32"/>
          <w:szCs w:val="32"/>
        </w:rPr>
        <w:t>按照国家和地方有关规定设置规范的污染物排放口，并设立标志牌</w:t>
      </w:r>
      <w:r>
        <w:rPr>
          <w:rFonts w:hint="eastAsia" w:ascii="仿宋_GB2312" w:hAnsi="仿宋_GB2312" w:eastAsia="仿宋_GB2312" w:cs="仿宋_GB2312"/>
          <w:kern w:val="0"/>
          <w:sz w:val="32"/>
          <w:szCs w:val="32"/>
          <w:lang w:eastAsia="zh-CN"/>
        </w:rPr>
        <w:t>；排气筒应按规范要求预留永久性监测口，并</w:t>
      </w:r>
      <w:r>
        <w:rPr>
          <w:rFonts w:hint="eastAsia" w:ascii="仿宋_GB2312" w:hAnsi="仿宋_GB2312" w:eastAsia="仿宋_GB2312" w:cs="仿宋_GB2312"/>
          <w:kern w:val="0"/>
          <w:sz w:val="32"/>
          <w:szCs w:val="32"/>
        </w:rPr>
        <w:t>按自行监测</w:t>
      </w:r>
      <w:r>
        <w:rPr>
          <w:rFonts w:hint="eastAsia" w:ascii="仿宋_GB2312" w:hAnsi="仿宋_GB2312" w:eastAsia="仿宋_GB2312" w:cs="仿宋_GB2312"/>
          <w:kern w:val="0"/>
          <w:sz w:val="32"/>
          <w:szCs w:val="32"/>
          <w:lang w:eastAsia="zh-CN"/>
        </w:rPr>
        <w:t>要求</w:t>
      </w:r>
      <w:r>
        <w:rPr>
          <w:rFonts w:hint="eastAsia" w:ascii="仿宋_GB2312" w:hAnsi="仿宋_GB2312" w:eastAsia="仿宋_GB2312" w:cs="仿宋_GB2312"/>
          <w:kern w:val="0"/>
          <w:sz w:val="32"/>
          <w:szCs w:val="32"/>
        </w:rPr>
        <w:t>开展生产运行阶段污染源及对周边环境质量影响监测。</w:t>
      </w:r>
    </w:p>
    <w:p w14:paraId="27DBF1F3">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三、项目建成后全厂污染物排放总量为：化学需氧量1.214</w:t>
      </w:r>
      <w:r>
        <w:rPr>
          <w:rFonts w:hint="eastAsia" w:ascii="仿宋_GB2312" w:hAnsi="仿宋_GB2312" w:eastAsia="仿宋_GB2312" w:cs="仿宋_GB2312"/>
          <w:kern w:val="0"/>
          <w:sz w:val="32"/>
          <w:szCs w:val="32"/>
          <w:lang w:eastAsia="zh-CN"/>
        </w:rPr>
        <w:t>吨/年</w:t>
      </w:r>
      <w:r>
        <w:rPr>
          <w:rFonts w:hint="eastAsia" w:ascii="仿宋_GB2312" w:hAnsi="仿宋_GB2312" w:eastAsia="仿宋_GB2312" w:cs="仿宋_GB2312"/>
          <w:kern w:val="0"/>
          <w:sz w:val="32"/>
          <w:szCs w:val="32"/>
        </w:rPr>
        <w:t>、氨氮0.162</w:t>
      </w:r>
      <w:r>
        <w:rPr>
          <w:rFonts w:hint="eastAsia" w:ascii="仿宋_GB2312" w:hAnsi="仿宋_GB2312" w:eastAsia="仿宋_GB2312" w:cs="仿宋_GB2312"/>
          <w:kern w:val="0"/>
          <w:sz w:val="32"/>
          <w:szCs w:val="32"/>
          <w:lang w:eastAsia="zh-CN"/>
        </w:rPr>
        <w:t>吨/年</w:t>
      </w:r>
      <w:r>
        <w:rPr>
          <w:rFonts w:hint="eastAsia" w:ascii="仿宋_GB2312" w:hAnsi="仿宋_GB2312" w:eastAsia="仿宋_GB2312" w:cs="仿宋_GB2312"/>
          <w:kern w:val="0"/>
          <w:sz w:val="32"/>
          <w:szCs w:val="32"/>
        </w:rPr>
        <w:t>、二氧化硫0.006</w:t>
      </w:r>
      <w:r>
        <w:rPr>
          <w:rFonts w:hint="eastAsia" w:ascii="仿宋_GB2312" w:hAnsi="仿宋_GB2312" w:eastAsia="仿宋_GB2312" w:cs="仿宋_GB2312"/>
          <w:kern w:val="0"/>
          <w:sz w:val="32"/>
          <w:szCs w:val="32"/>
          <w:lang w:eastAsia="zh-CN"/>
        </w:rPr>
        <w:t>吨/年</w:t>
      </w:r>
      <w:r>
        <w:rPr>
          <w:rFonts w:hint="eastAsia" w:ascii="仿宋_GB2312" w:hAnsi="仿宋_GB2312" w:eastAsia="仿宋_GB2312" w:cs="仿宋_GB2312"/>
          <w:kern w:val="0"/>
          <w:sz w:val="32"/>
          <w:szCs w:val="32"/>
        </w:rPr>
        <w:t>、氮氧化物0.254</w:t>
      </w:r>
      <w:r>
        <w:rPr>
          <w:rFonts w:hint="eastAsia" w:ascii="仿宋_GB2312" w:hAnsi="仿宋_GB2312" w:eastAsia="仿宋_GB2312" w:cs="仿宋_GB2312"/>
          <w:kern w:val="0"/>
          <w:sz w:val="32"/>
          <w:szCs w:val="32"/>
          <w:lang w:eastAsia="zh-CN"/>
        </w:rPr>
        <w:t>吨/年</w:t>
      </w:r>
      <w:r>
        <w:rPr>
          <w:rFonts w:hint="eastAsia" w:ascii="仿宋_GB2312" w:hAnsi="仿宋_GB2312" w:eastAsia="仿宋_GB2312" w:cs="仿宋_GB2312"/>
          <w:kern w:val="0"/>
          <w:sz w:val="32"/>
          <w:szCs w:val="32"/>
        </w:rPr>
        <w:t>，根据《三明市生态环境局关于印发授权各县（市）生态环境局开展行政许可具体工作方案</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试行</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的通知》</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明环〔2019〕33号</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可豁免购买排污权及来源确认</w:t>
      </w:r>
      <w:r>
        <w:rPr>
          <w:rFonts w:hint="eastAsia" w:ascii="仿宋_GB2312" w:hAnsi="仿宋_GB2312" w:eastAsia="仿宋_GB2312" w:cs="仿宋_GB2312"/>
          <w:kern w:val="0"/>
          <w:sz w:val="32"/>
          <w:szCs w:val="32"/>
          <w:lang w:eastAsia="zh-CN"/>
        </w:rPr>
        <w:t>。</w:t>
      </w:r>
    </w:p>
    <w:p w14:paraId="238A998A">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你公司应提请并配合三明高新技术产业开发区管理委员会做好项目周边用地管控，在项目环境防护距离内不得有居住区、学校、医院、行政办公和科研等环境敏感目标。</w:t>
      </w:r>
    </w:p>
    <w:p w14:paraId="2FA79B63">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ascii="Times New Roman" w:hAnsi="Times New Roman" w:eastAsia="方正仿宋简体"/>
          <w:sz w:val="32"/>
          <w:szCs w:val="32"/>
        </w:rPr>
      </w:pPr>
      <w:r>
        <w:rPr>
          <w:rFonts w:hint="eastAsia" w:ascii="仿宋_GB2312" w:hAnsi="仿宋_GB2312" w:eastAsia="仿宋_GB2312" w:cs="仿宋_GB2312"/>
          <w:kern w:val="0"/>
          <w:sz w:val="32"/>
          <w:szCs w:val="32"/>
          <w:lang w:eastAsia="zh-CN"/>
        </w:rPr>
        <w:t>五、</w:t>
      </w:r>
      <w:r>
        <w:rPr>
          <w:rFonts w:hint="eastAsia" w:ascii="仿宋_GB2312" w:hAnsi="仿宋_GB2312" w:eastAsia="仿宋_GB2312" w:cs="仿宋_GB2312"/>
          <w:kern w:val="0"/>
          <w:sz w:val="32"/>
          <w:szCs w:val="32"/>
        </w:rPr>
        <w:t>项目建设应严格执行环境保护设施与主体工程同时设计、同时施工、同时投产使用的环境保护“三同时”制度，并做好与排污许可证申领的衔接。项目竣工后，按规定及时开展竣工环境保护验收。</w:t>
      </w:r>
    </w:p>
    <w:p w14:paraId="07BE2F7C">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ascii="Times New Roman" w:hAnsi="Times New Roman" w:eastAsia="方正仿宋简体"/>
          <w:sz w:val="32"/>
          <w:szCs w:val="32"/>
        </w:rPr>
      </w:pPr>
      <w:r>
        <w:rPr>
          <w:rFonts w:hint="eastAsia" w:ascii="仿宋_GB2312" w:hAnsi="仿宋_GB2312" w:eastAsia="仿宋_GB2312" w:cs="仿宋_GB2312"/>
          <w:kern w:val="0"/>
          <w:sz w:val="32"/>
          <w:szCs w:val="32"/>
          <w:lang w:eastAsia="zh-CN"/>
        </w:rPr>
        <w:t>六</w:t>
      </w:r>
      <w:r>
        <w:rPr>
          <w:rFonts w:hint="eastAsia" w:ascii="仿宋_GB2312" w:hAnsi="仿宋_GB2312" w:eastAsia="仿宋_GB2312" w:cs="仿宋_GB2312"/>
          <w:kern w:val="0"/>
          <w:sz w:val="32"/>
          <w:szCs w:val="32"/>
        </w:rPr>
        <w:t>、在项目施工和运营过程中，应建立畅通的公众参与平台，满足公众合理的环境保护要求；按照国家法律、法规要求，做好环境信息公开，定期发布企业环境信息，主动接受社会监督。</w:t>
      </w:r>
    </w:p>
    <w:p w14:paraId="256138E6">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七</w:t>
      </w:r>
      <w:r>
        <w:rPr>
          <w:rFonts w:hint="eastAsia" w:ascii="仿宋_GB2312" w:hAnsi="仿宋_GB2312" w:eastAsia="仿宋_GB2312" w:cs="仿宋_GB2312"/>
          <w:kern w:val="0"/>
          <w:sz w:val="32"/>
          <w:szCs w:val="32"/>
        </w:rPr>
        <w:t>、建设项目的环境影响评价文件经批准后，建设项目的性质、规模、地点、采用的生产工艺或者防治污染、防止生态破坏的措施发生重大变动的，建设单位应当重新报批建设项目的环境影响评价文件。</w:t>
      </w:r>
    </w:p>
    <w:p w14:paraId="472A2C7A">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eastAsia="zh-CN"/>
        </w:rPr>
        <w:t>八</w:t>
      </w:r>
      <w:r>
        <w:rPr>
          <w:rFonts w:hint="eastAsia" w:ascii="仿宋_GB2312" w:hAnsi="仿宋_GB2312" w:eastAsia="仿宋_GB2312" w:cs="仿宋_GB2312"/>
          <w:kern w:val="0"/>
          <w:sz w:val="32"/>
          <w:szCs w:val="32"/>
        </w:rPr>
        <w:t>、我局委托三明市沙县生态环境保护综合执法大队组织开展“三同时”监督检查和日常监督管理工作。</w:t>
      </w:r>
    </w:p>
    <w:p w14:paraId="6D9557E9">
      <w:pPr>
        <w:pStyle w:val="6"/>
        <w:keepNext w:val="0"/>
        <w:keepLines w:val="0"/>
        <w:pageBreakBefore w:val="0"/>
        <w:kinsoku/>
        <w:wordWrap/>
        <w:overflowPunct/>
        <w:topLinePunct w:val="0"/>
        <w:autoSpaceDE/>
        <w:autoSpaceDN/>
        <w:bidi w:val="0"/>
        <w:adjustRightInd/>
        <w:snapToGrid/>
        <w:spacing w:line="540" w:lineRule="exact"/>
        <w:textAlignment w:val="auto"/>
        <w:rPr>
          <w:rFonts w:hint="eastAsia" w:ascii="方正仿宋简体" w:hAnsi="方正仿宋简体" w:eastAsia="方正仿宋简体" w:cs="方正仿宋简体"/>
          <w:kern w:val="0"/>
          <w:sz w:val="32"/>
          <w:szCs w:val="32"/>
        </w:rPr>
      </w:pPr>
    </w:p>
    <w:p w14:paraId="4BA97E50">
      <w:pPr>
        <w:pStyle w:val="4"/>
        <w:rPr>
          <w:rFonts w:hint="eastAsia"/>
        </w:rPr>
      </w:pPr>
    </w:p>
    <w:p w14:paraId="4D7DFB39">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rPr>
      </w:pPr>
      <w:r>
        <w:rPr>
          <w:rFonts w:hint="eastAsia" w:ascii="方正仿宋简体" w:hAnsi="方正仿宋简体" w:eastAsia="方正仿宋简体" w:cs="方正仿宋简体"/>
          <w:kern w:val="0"/>
          <w:sz w:val="32"/>
          <w:szCs w:val="32"/>
          <w:lang w:val="en-US" w:eastAsia="zh-CN"/>
        </w:rPr>
        <w:t xml:space="preserve">                           </w:t>
      </w:r>
      <w:r>
        <w:rPr>
          <w:rFonts w:hint="eastAsia" w:ascii="仿宋_GB2312" w:hAnsi="仿宋_GB2312" w:eastAsia="仿宋_GB2312" w:cs="仿宋_GB2312"/>
          <w:kern w:val="0"/>
          <w:sz w:val="32"/>
          <w:szCs w:val="32"/>
        </w:rPr>
        <w:t>三明市生态环境局</w:t>
      </w:r>
    </w:p>
    <w:p w14:paraId="7F204F47">
      <w:pPr>
        <w:keepNext w:val="0"/>
        <w:keepLines w:val="0"/>
        <w:pageBreakBefore w:val="0"/>
        <w:widowControl/>
        <w:kinsoku/>
        <w:wordWrap/>
        <w:overflowPunct/>
        <w:topLinePunct w:val="0"/>
        <w:autoSpaceDE/>
        <w:autoSpaceDN/>
        <w:bidi w:val="0"/>
        <w:adjustRightInd/>
        <w:snapToGrid/>
        <w:spacing w:line="540" w:lineRule="exact"/>
        <w:ind w:firstLine="63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7</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23</w:t>
      </w:r>
      <w:r>
        <w:rPr>
          <w:rFonts w:hint="eastAsia" w:ascii="仿宋_GB2312" w:hAnsi="仿宋_GB2312" w:eastAsia="仿宋_GB2312" w:cs="仿宋_GB2312"/>
          <w:kern w:val="0"/>
          <w:sz w:val="32"/>
          <w:szCs w:val="32"/>
        </w:rPr>
        <w:t>日</w:t>
      </w:r>
    </w:p>
    <w:p w14:paraId="0FF87CB0">
      <w:pPr>
        <w:pStyle w:val="4"/>
      </w:pPr>
    </w:p>
    <w:p w14:paraId="771BFFE9"/>
    <w:p w14:paraId="6C6A1297">
      <w:pPr>
        <w:pStyle w:val="6"/>
      </w:pPr>
    </w:p>
    <w:p w14:paraId="550A8D89">
      <w:pPr>
        <w:pStyle w:val="4"/>
      </w:pPr>
    </w:p>
    <w:p w14:paraId="25C73C9C">
      <w:pPr>
        <w:pStyle w:val="2"/>
        <w:ind w:left="0" w:leftChars="0" w:firstLine="0" w:firstLineChars="0"/>
      </w:pPr>
    </w:p>
    <w:p w14:paraId="19867E62">
      <w:pPr>
        <w:pStyle w:val="2"/>
      </w:pPr>
    </w:p>
    <w:p w14:paraId="1B7C2D7F"/>
    <w:p w14:paraId="598AA0CB">
      <w:pPr>
        <w:pStyle w:val="2"/>
      </w:pPr>
    </w:p>
    <w:p w14:paraId="0C68EF13"/>
    <w:p w14:paraId="33D14CE9">
      <w:pPr>
        <w:pStyle w:val="4"/>
      </w:pPr>
    </w:p>
    <w:p w14:paraId="1AD93D39">
      <w:pPr>
        <w:spacing w:line="570" w:lineRule="exact"/>
      </w:pPr>
      <w:r>
        <w:rPr>
          <w:rFonts w:ascii="Times New Roman" w:hAnsi="Times New Roman" w:eastAsia="方正仿宋简体"/>
          <w:kern w:val="0"/>
          <w:sz w:val="32"/>
          <w:szCs w:val="32"/>
        </w:rPr>
        <w:t>（此件主动公开）</w:t>
      </w:r>
    </w:p>
    <w:p w14:paraId="633032E2">
      <w:pPr>
        <w:widowControl/>
        <w:spacing w:line="260" w:lineRule="exact"/>
        <w:ind w:firstLine="3255" w:firstLineChars="1550"/>
        <w:rPr>
          <w:rFonts w:ascii="Times New Roman" w:hAnsi="Times New Roman" w:eastAsia="方正仿宋_GBK"/>
          <w:kern w:val="0"/>
          <w:sz w:val="32"/>
          <w:szCs w:val="32"/>
        </w:rPr>
      </w:pPr>
      <w:r>
        <w:rPr>
          <w:rFonts w:ascii="Times New Roman" w:hAnsi="Times New Roman"/>
        </w:rPr>
        <w:pict>
          <v:line id="_x0000_s1026" o:spid="_x0000_s1026" o:spt="20" style="position:absolute;left:0pt;margin-left:0pt;margin-top:12pt;height:0.05pt;width:441pt;z-index:251659264;mso-width-relative:page;mso-height-relative:page;" coordsize="21600,21600" o:gfxdata="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sYaaNMAAAAGAQAADwAAAAAAAAABACAAAAAiAAAAZHJzL2Rv&#10;d25yZXYueG1sUEsBAhQAFAAAAAgAh07iQHQkApXNAQAAjwMAAA4AAAAAAAAAAQAgAAAAIgEAAGRy&#10;cy9lMm9Eb2MueG1sUEsFBgAAAAAGAAYAWQEAAGEFAAAAAA==&#10;">
            <v:path arrowok="t"/>
            <v:fill focussize="0,0"/>
            <v:stroke/>
            <v:imagedata o:title=""/>
            <o:lock v:ext="edit"/>
          </v:line>
        </w:pict>
      </w:r>
    </w:p>
    <w:p w14:paraId="11FE6760">
      <w:pPr>
        <w:widowControl/>
        <w:spacing w:line="360" w:lineRule="exact"/>
        <w:ind w:left="1181" w:leftChars="134" w:hanging="900" w:hangingChars="300"/>
        <w:rPr>
          <w:rFonts w:ascii="Times New Roman" w:hAnsi="Times New Roman" w:eastAsia="方正仿宋简体"/>
          <w:kern w:val="0"/>
          <w:sz w:val="30"/>
          <w:szCs w:val="30"/>
        </w:rPr>
      </w:pPr>
      <w:r>
        <w:rPr>
          <w:rFonts w:ascii="Times New Roman" w:hAnsi="Times New Roman" w:eastAsia="方正仿宋简体"/>
          <w:kern w:val="0"/>
          <w:sz w:val="30"/>
          <w:szCs w:val="30"/>
        </w:rPr>
        <w:t>抄送：三明高新技术产业开发区管理委员会</w:t>
      </w:r>
      <w:r>
        <w:rPr>
          <w:rFonts w:hint="eastAsia" w:ascii="Times New Roman" w:hAnsi="Times New Roman" w:eastAsia="方正仿宋简体"/>
          <w:kern w:val="0"/>
          <w:sz w:val="30"/>
          <w:szCs w:val="30"/>
          <w:lang w:eastAsia="zh-CN"/>
        </w:rPr>
        <w:t>，区工信局，中新绿能（厦门）环保有限公司。</w:t>
      </w:r>
    </w:p>
    <w:p w14:paraId="3593547E">
      <w:pPr>
        <w:widowControl/>
        <w:spacing w:line="700" w:lineRule="exact"/>
        <w:ind w:firstLine="300" w:firstLineChars="100"/>
        <w:rPr>
          <w:rFonts w:ascii="Times New Roman" w:hAnsi="Times New Roman" w:eastAsia="方正仿宋简体"/>
          <w:kern w:val="0"/>
          <w:sz w:val="30"/>
          <w:szCs w:val="30"/>
        </w:rPr>
      </w:pPr>
      <w:r>
        <w:rPr>
          <w:rFonts w:ascii="Times New Roman" w:hAnsi="Times New Roman" w:eastAsia="方正仿宋简体"/>
          <w:kern w:val="0"/>
          <w:sz w:val="30"/>
          <w:szCs w:val="30"/>
        </w:rPr>
        <w:pict>
          <v:line id="直线 3" o:spid="_x0000_s1028" o:spt="20" style="position:absolute;left:0pt;margin-left:0pt;margin-top:39.4pt;height:0.05pt;width:441pt;z-index:251659264;mso-width-relative:page;mso-height-relative:page;" coordsize="21600,21600" o:gfxdata="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MrwyvTAAAABgEAAA8AAAAAAAAAAQAgAAAAIgAAAGRycy9k&#10;b3ducmV2LnhtbFBLAQIUABQAAAAIAIdO4kBqiOtdzgEAAI8DAAAOAAAAAAAAAAEAIAAAACIBAABk&#10;cnMvZTJvRG9jLnhtbFBLBQYAAAAABgAGAFkBAABiBQAAAAA=&#10;">
            <v:path arrowok="t"/>
            <v:fill focussize="0,0"/>
            <v:stroke/>
            <v:imagedata o:title=""/>
            <o:lock v:ext="edit"/>
          </v:line>
        </w:pict>
      </w:r>
      <w:r>
        <w:rPr>
          <w:rFonts w:ascii="Times New Roman" w:hAnsi="Times New Roman" w:eastAsia="方正仿宋简体"/>
          <w:kern w:val="0"/>
          <w:sz w:val="30"/>
          <w:szCs w:val="30"/>
        </w:rPr>
        <w:pict>
          <v:line id="直线 4" o:spid="_x0000_s1027" o:spt="20" style="position:absolute;left:0pt;margin-left:0pt;margin-top:7.4pt;height:0.05pt;width:441pt;z-index:251659264;mso-width-relative:page;mso-height-relative:page;" coordsize="21600,21600" o:gfxdata="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4ejtJ9IAAAAGAQAADwAAAAAAAAABACAAAAAiAAAAZHJzL2Rv&#10;d25yZXYueG1sUEsBAhQAFAAAAAgAh07iQDWjlmTOAQAAjwMAAA4AAAAAAAAAAQAgAAAAIQEAAGRy&#10;cy9lMm9Eb2MueG1sUEsFBgAAAAAGAAYAWQEAAGEFAAAAAA==&#10;">
            <v:path arrowok="t"/>
            <v:fill focussize="0,0"/>
            <v:stroke/>
            <v:imagedata o:title=""/>
            <o:lock v:ext="edit"/>
          </v:line>
        </w:pict>
      </w:r>
      <w:r>
        <w:rPr>
          <w:rFonts w:ascii="Times New Roman" w:hAnsi="Times New Roman" w:eastAsia="方正仿宋简体"/>
          <w:kern w:val="0"/>
          <w:sz w:val="30"/>
          <w:szCs w:val="30"/>
        </w:rPr>
        <w:t>三明市</w:t>
      </w:r>
      <w:r>
        <w:rPr>
          <w:rFonts w:hint="eastAsia" w:ascii="Times New Roman" w:hAnsi="Times New Roman" w:eastAsia="方正仿宋简体"/>
          <w:kern w:val="0"/>
          <w:sz w:val="30"/>
          <w:szCs w:val="30"/>
          <w:lang w:eastAsia="zh-CN"/>
        </w:rPr>
        <w:t>沙县</w:t>
      </w:r>
      <w:r>
        <w:rPr>
          <w:rFonts w:ascii="Times New Roman" w:hAnsi="Times New Roman" w:eastAsia="方正仿宋简体"/>
          <w:kern w:val="0"/>
          <w:sz w:val="30"/>
          <w:szCs w:val="30"/>
        </w:rPr>
        <w:t xml:space="preserve">生态环境局办公室   </w:t>
      </w:r>
      <w:r>
        <w:rPr>
          <w:rFonts w:hint="eastAsia" w:ascii="Times New Roman" w:hAnsi="Times New Roman" w:eastAsia="方正仿宋简体"/>
          <w:kern w:val="0"/>
          <w:sz w:val="30"/>
          <w:szCs w:val="30"/>
          <w:lang w:val="en-US" w:eastAsia="zh-CN"/>
        </w:rPr>
        <w:t xml:space="preserve">         </w:t>
      </w:r>
      <w:r>
        <w:rPr>
          <w:rFonts w:hint="eastAsia" w:ascii="Times New Roman" w:hAnsi="Times New Roman" w:eastAsia="方正仿宋简体"/>
          <w:kern w:val="0"/>
          <w:sz w:val="30"/>
          <w:szCs w:val="30"/>
        </w:rPr>
        <w:t>202</w:t>
      </w:r>
      <w:r>
        <w:rPr>
          <w:rFonts w:hint="eastAsia" w:ascii="Times New Roman" w:hAnsi="Times New Roman" w:eastAsia="方正仿宋简体"/>
          <w:kern w:val="0"/>
          <w:sz w:val="30"/>
          <w:szCs w:val="30"/>
          <w:lang w:val="en-US" w:eastAsia="zh-CN"/>
        </w:rPr>
        <w:t>6</w:t>
      </w:r>
      <w:r>
        <w:rPr>
          <w:rFonts w:hint="eastAsia" w:ascii="Times New Roman" w:hAnsi="Times New Roman" w:eastAsia="方正仿宋简体"/>
          <w:kern w:val="0"/>
          <w:sz w:val="30"/>
          <w:szCs w:val="30"/>
        </w:rPr>
        <w:t>年</w:t>
      </w:r>
      <w:r>
        <w:rPr>
          <w:rFonts w:hint="eastAsia" w:ascii="Times New Roman" w:hAnsi="Times New Roman" w:eastAsia="方正仿宋简体"/>
          <w:kern w:val="0"/>
          <w:sz w:val="30"/>
          <w:szCs w:val="30"/>
          <w:lang w:val="en-US" w:eastAsia="zh-CN"/>
        </w:rPr>
        <w:t>7</w:t>
      </w:r>
      <w:r>
        <w:rPr>
          <w:rFonts w:hint="eastAsia" w:ascii="Times New Roman" w:hAnsi="Times New Roman" w:eastAsia="方正仿宋简体"/>
          <w:kern w:val="0"/>
          <w:sz w:val="30"/>
          <w:szCs w:val="30"/>
        </w:rPr>
        <w:t>月</w:t>
      </w:r>
      <w:r>
        <w:rPr>
          <w:rFonts w:hint="eastAsia" w:ascii="Times New Roman" w:hAnsi="Times New Roman" w:eastAsia="方正仿宋简体"/>
          <w:kern w:val="0"/>
          <w:sz w:val="30"/>
          <w:szCs w:val="30"/>
          <w:lang w:val="en-US" w:eastAsia="zh-CN"/>
        </w:rPr>
        <w:t>23</w:t>
      </w:r>
      <w:r>
        <w:rPr>
          <w:rFonts w:hint="eastAsia" w:ascii="Times New Roman" w:hAnsi="Times New Roman" w:eastAsia="方正仿宋简体"/>
          <w:kern w:val="0"/>
          <w:sz w:val="30"/>
          <w:szCs w:val="30"/>
        </w:rPr>
        <w:t>日</w:t>
      </w:r>
      <w:r>
        <w:rPr>
          <w:rFonts w:ascii="Times New Roman" w:hAnsi="Times New Roman" w:eastAsia="方正仿宋简体"/>
          <w:kern w:val="0"/>
          <w:sz w:val="30"/>
          <w:szCs w:val="30"/>
        </w:rPr>
        <w:t>印发</w:t>
      </w:r>
    </w:p>
    <w:sectPr>
      <w:headerReference r:id="rId3" w:type="default"/>
      <w:footerReference r:id="rId4" w:type="default"/>
      <w:footerReference r:id="rId5" w:type="even"/>
      <w:pgSz w:w="11906" w:h="16838"/>
      <w:pgMar w:top="1531" w:right="1531" w:bottom="1531"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altName w:val="方正书宋_GBK"/>
    <w:panose1 w:val="02010600030101010101"/>
    <w:charset w:val="81"/>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3D115">
    <w:pPr>
      <w:pStyle w:val="10"/>
      <w:framePr w:wrap="around" w:vAnchor="text" w:hAnchor="margin" w:xAlign="outside" w:y="1"/>
      <w:rPr>
        <w:rStyle w:val="19"/>
        <w:rFonts w:ascii="方正仿宋简体" w:eastAsia="方正仿宋简体"/>
        <w:sz w:val="28"/>
        <w:szCs w:val="28"/>
      </w:rPr>
    </w:pPr>
    <w:r>
      <w:rPr>
        <w:rStyle w:val="19"/>
        <w:rFonts w:ascii="方正仿宋简体" w:eastAsia="方正仿宋简体"/>
        <w:sz w:val="28"/>
        <w:szCs w:val="28"/>
      </w:rPr>
      <w:fldChar w:fldCharType="begin"/>
    </w:r>
    <w:r>
      <w:rPr>
        <w:rStyle w:val="19"/>
        <w:rFonts w:ascii="方正仿宋简体" w:eastAsia="方正仿宋简体"/>
        <w:sz w:val="28"/>
        <w:szCs w:val="28"/>
      </w:rPr>
      <w:instrText xml:space="preserve">PAGE  </w:instrText>
    </w:r>
    <w:r>
      <w:rPr>
        <w:rStyle w:val="19"/>
        <w:rFonts w:ascii="方正仿宋简体" w:eastAsia="方正仿宋简体"/>
        <w:sz w:val="28"/>
        <w:szCs w:val="28"/>
      </w:rPr>
      <w:fldChar w:fldCharType="separate"/>
    </w:r>
    <w:r>
      <w:rPr>
        <w:rStyle w:val="19"/>
        <w:rFonts w:ascii="方正仿宋简体" w:eastAsia="方正仿宋简体"/>
        <w:sz w:val="28"/>
        <w:szCs w:val="28"/>
      </w:rPr>
      <w:t>- 1 -</w:t>
    </w:r>
    <w:r>
      <w:rPr>
        <w:rStyle w:val="19"/>
        <w:rFonts w:ascii="方正仿宋简体" w:eastAsia="方正仿宋简体"/>
        <w:sz w:val="28"/>
        <w:szCs w:val="28"/>
      </w:rPr>
      <w:fldChar w:fldCharType="end"/>
    </w:r>
  </w:p>
  <w:p w14:paraId="7872C5B6">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DE91B">
    <w:pPr>
      <w:pStyle w:val="10"/>
      <w:framePr w:wrap="around" w:vAnchor="text" w:hAnchor="margin" w:xAlign="outside" w:y="1"/>
      <w:rPr>
        <w:rStyle w:val="19"/>
      </w:rPr>
    </w:pPr>
    <w:r>
      <w:rPr>
        <w:rStyle w:val="19"/>
      </w:rPr>
      <w:fldChar w:fldCharType="begin"/>
    </w:r>
    <w:r>
      <w:rPr>
        <w:rStyle w:val="19"/>
      </w:rPr>
      <w:instrText xml:space="preserve">PAGE  </w:instrText>
    </w:r>
    <w:r>
      <w:rPr>
        <w:rStyle w:val="19"/>
      </w:rPr>
      <w:fldChar w:fldCharType="separate"/>
    </w:r>
    <w:r>
      <w:rPr>
        <w:rStyle w:val="19"/>
      </w:rPr>
      <w:t>- 2 -</w:t>
    </w:r>
    <w:r>
      <w:rPr>
        <w:rStyle w:val="19"/>
      </w:rPr>
      <w:fldChar w:fldCharType="end"/>
    </w:r>
  </w:p>
  <w:p w14:paraId="4EC66FCC">
    <w:pPr>
      <w:pStyle w:val="1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333A2">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zMThmM2ZjZGRlYWNmZTlkZjBkNDhkM2UyNDVlMjkifQ=="/>
  </w:docVars>
  <w:rsids>
    <w:rsidRoot w:val="00B1451C"/>
    <w:rsid w:val="00141E94"/>
    <w:rsid w:val="001C0124"/>
    <w:rsid w:val="001E3666"/>
    <w:rsid w:val="00405AAE"/>
    <w:rsid w:val="00462D99"/>
    <w:rsid w:val="004D1365"/>
    <w:rsid w:val="005C35E4"/>
    <w:rsid w:val="005D54F0"/>
    <w:rsid w:val="006429FA"/>
    <w:rsid w:val="006462ED"/>
    <w:rsid w:val="00660C3A"/>
    <w:rsid w:val="00706573"/>
    <w:rsid w:val="00712C04"/>
    <w:rsid w:val="00720C81"/>
    <w:rsid w:val="00736E93"/>
    <w:rsid w:val="007A1902"/>
    <w:rsid w:val="007F5AA7"/>
    <w:rsid w:val="008E4AD4"/>
    <w:rsid w:val="009D01C5"/>
    <w:rsid w:val="009F1EE4"/>
    <w:rsid w:val="00A95B51"/>
    <w:rsid w:val="00B1451C"/>
    <w:rsid w:val="00B66EF8"/>
    <w:rsid w:val="00BD4BA4"/>
    <w:rsid w:val="00CA4891"/>
    <w:rsid w:val="00D52ABB"/>
    <w:rsid w:val="00EB6E81"/>
    <w:rsid w:val="00FD00AC"/>
    <w:rsid w:val="014B7296"/>
    <w:rsid w:val="022852EA"/>
    <w:rsid w:val="02986AC6"/>
    <w:rsid w:val="03602938"/>
    <w:rsid w:val="03880C56"/>
    <w:rsid w:val="04411BD7"/>
    <w:rsid w:val="0573340B"/>
    <w:rsid w:val="059C6826"/>
    <w:rsid w:val="07496CCE"/>
    <w:rsid w:val="07CC09EB"/>
    <w:rsid w:val="08652D8D"/>
    <w:rsid w:val="08A6542C"/>
    <w:rsid w:val="08BA6CD9"/>
    <w:rsid w:val="08C478EE"/>
    <w:rsid w:val="099F42D8"/>
    <w:rsid w:val="09DB04D1"/>
    <w:rsid w:val="09DB3168"/>
    <w:rsid w:val="0A203CA8"/>
    <w:rsid w:val="0ABF156C"/>
    <w:rsid w:val="0B8029C9"/>
    <w:rsid w:val="0BED605A"/>
    <w:rsid w:val="0D4F44E1"/>
    <w:rsid w:val="0D956115"/>
    <w:rsid w:val="0DD674ED"/>
    <w:rsid w:val="0F6A6C9F"/>
    <w:rsid w:val="0FE74C78"/>
    <w:rsid w:val="10BC1D00"/>
    <w:rsid w:val="1121440F"/>
    <w:rsid w:val="14A4387E"/>
    <w:rsid w:val="14FC83E9"/>
    <w:rsid w:val="155248DD"/>
    <w:rsid w:val="16847A90"/>
    <w:rsid w:val="1A580641"/>
    <w:rsid w:val="1AEA0782"/>
    <w:rsid w:val="1B7C68AF"/>
    <w:rsid w:val="1B9F29B6"/>
    <w:rsid w:val="1BDA67F4"/>
    <w:rsid w:val="1C692389"/>
    <w:rsid w:val="1CE633A0"/>
    <w:rsid w:val="1CFD6A44"/>
    <w:rsid w:val="1E1F74BD"/>
    <w:rsid w:val="1F2604E0"/>
    <w:rsid w:val="1F664CDF"/>
    <w:rsid w:val="1F8100F4"/>
    <w:rsid w:val="1FD506E5"/>
    <w:rsid w:val="1FFAC835"/>
    <w:rsid w:val="202270D5"/>
    <w:rsid w:val="214B3109"/>
    <w:rsid w:val="21977AC2"/>
    <w:rsid w:val="21C11563"/>
    <w:rsid w:val="231A1DDD"/>
    <w:rsid w:val="232A6740"/>
    <w:rsid w:val="237A6EBD"/>
    <w:rsid w:val="23A32539"/>
    <w:rsid w:val="24DC7127"/>
    <w:rsid w:val="25354272"/>
    <w:rsid w:val="25754083"/>
    <w:rsid w:val="25DC74D4"/>
    <w:rsid w:val="25E77F32"/>
    <w:rsid w:val="276A1974"/>
    <w:rsid w:val="27CE3C25"/>
    <w:rsid w:val="29B26359"/>
    <w:rsid w:val="29DFF6BA"/>
    <w:rsid w:val="2A766A80"/>
    <w:rsid w:val="2C322253"/>
    <w:rsid w:val="2C7A6359"/>
    <w:rsid w:val="2D051137"/>
    <w:rsid w:val="2D370090"/>
    <w:rsid w:val="2DBD12E1"/>
    <w:rsid w:val="2FBE7814"/>
    <w:rsid w:val="3060697A"/>
    <w:rsid w:val="31596E3F"/>
    <w:rsid w:val="32A61601"/>
    <w:rsid w:val="33B9459B"/>
    <w:rsid w:val="34F34F5A"/>
    <w:rsid w:val="35002EE0"/>
    <w:rsid w:val="358B58CD"/>
    <w:rsid w:val="35BA3DFA"/>
    <w:rsid w:val="35E0619A"/>
    <w:rsid w:val="360C18E2"/>
    <w:rsid w:val="37BE1F7B"/>
    <w:rsid w:val="398A6189"/>
    <w:rsid w:val="3A2C0A30"/>
    <w:rsid w:val="3A720EF8"/>
    <w:rsid w:val="3B336BD2"/>
    <w:rsid w:val="3CC52D38"/>
    <w:rsid w:val="3D576952"/>
    <w:rsid w:val="3EF33DA4"/>
    <w:rsid w:val="3F124C2C"/>
    <w:rsid w:val="3F6D6119"/>
    <w:rsid w:val="3FDF9A18"/>
    <w:rsid w:val="40851B16"/>
    <w:rsid w:val="40BE52B1"/>
    <w:rsid w:val="444C2E64"/>
    <w:rsid w:val="44704CCF"/>
    <w:rsid w:val="44F04ADD"/>
    <w:rsid w:val="45132AAF"/>
    <w:rsid w:val="45315BC1"/>
    <w:rsid w:val="45C91073"/>
    <w:rsid w:val="47FA3FC4"/>
    <w:rsid w:val="4853745C"/>
    <w:rsid w:val="49AB5A2E"/>
    <w:rsid w:val="4B5E6D10"/>
    <w:rsid w:val="4BD66201"/>
    <w:rsid w:val="4CCF20E6"/>
    <w:rsid w:val="4EDF361D"/>
    <w:rsid w:val="4FAE4DE6"/>
    <w:rsid w:val="50407728"/>
    <w:rsid w:val="50C70AEA"/>
    <w:rsid w:val="50F70BD7"/>
    <w:rsid w:val="51960EC3"/>
    <w:rsid w:val="51C71460"/>
    <w:rsid w:val="51D4551B"/>
    <w:rsid w:val="52E25D5D"/>
    <w:rsid w:val="52FF52F8"/>
    <w:rsid w:val="53A76EA9"/>
    <w:rsid w:val="54280B64"/>
    <w:rsid w:val="54DF1F2B"/>
    <w:rsid w:val="54FB75FB"/>
    <w:rsid w:val="55AB4D30"/>
    <w:rsid w:val="561B7CFF"/>
    <w:rsid w:val="569C67B0"/>
    <w:rsid w:val="56A90338"/>
    <w:rsid w:val="56BD71D7"/>
    <w:rsid w:val="571F3F93"/>
    <w:rsid w:val="5724243C"/>
    <w:rsid w:val="57264D71"/>
    <w:rsid w:val="575B008C"/>
    <w:rsid w:val="59CA6A67"/>
    <w:rsid w:val="5AB20E18"/>
    <w:rsid w:val="5BC13296"/>
    <w:rsid w:val="5DAF25BA"/>
    <w:rsid w:val="5E0A37A4"/>
    <w:rsid w:val="5E8F76EA"/>
    <w:rsid w:val="5FAA42E4"/>
    <w:rsid w:val="5FE041D4"/>
    <w:rsid w:val="5FE309AC"/>
    <w:rsid w:val="604918C6"/>
    <w:rsid w:val="60A33482"/>
    <w:rsid w:val="6114089B"/>
    <w:rsid w:val="61DB3EC6"/>
    <w:rsid w:val="623F62F1"/>
    <w:rsid w:val="640229B5"/>
    <w:rsid w:val="645A795A"/>
    <w:rsid w:val="662E5D88"/>
    <w:rsid w:val="6662787B"/>
    <w:rsid w:val="66AB0444"/>
    <w:rsid w:val="67D5568F"/>
    <w:rsid w:val="68724AB4"/>
    <w:rsid w:val="68DF30B7"/>
    <w:rsid w:val="68E325CC"/>
    <w:rsid w:val="69421289"/>
    <w:rsid w:val="69591B8C"/>
    <w:rsid w:val="69CA5C6E"/>
    <w:rsid w:val="6AC9386F"/>
    <w:rsid w:val="6AF05195"/>
    <w:rsid w:val="6B9841AA"/>
    <w:rsid w:val="6C2157F2"/>
    <w:rsid w:val="6DB87DCC"/>
    <w:rsid w:val="6DE17DF0"/>
    <w:rsid w:val="6DFE693E"/>
    <w:rsid w:val="6E1108C0"/>
    <w:rsid w:val="6E3A1BAE"/>
    <w:rsid w:val="6E8E1310"/>
    <w:rsid w:val="6EA85649"/>
    <w:rsid w:val="6F775BA4"/>
    <w:rsid w:val="6FD52E85"/>
    <w:rsid w:val="703D33CF"/>
    <w:rsid w:val="72426DE5"/>
    <w:rsid w:val="73462428"/>
    <w:rsid w:val="73C35EAE"/>
    <w:rsid w:val="7436549D"/>
    <w:rsid w:val="745F1753"/>
    <w:rsid w:val="75070127"/>
    <w:rsid w:val="75CF7368"/>
    <w:rsid w:val="7692131E"/>
    <w:rsid w:val="76CC35EA"/>
    <w:rsid w:val="76DF5951"/>
    <w:rsid w:val="78F44C22"/>
    <w:rsid w:val="79A8022B"/>
    <w:rsid w:val="7A895403"/>
    <w:rsid w:val="7AC45CD4"/>
    <w:rsid w:val="7B4546B7"/>
    <w:rsid w:val="7B4D670C"/>
    <w:rsid w:val="7B747DD4"/>
    <w:rsid w:val="7B93015F"/>
    <w:rsid w:val="7BC840DB"/>
    <w:rsid w:val="7BCE60C2"/>
    <w:rsid w:val="7DB03D50"/>
    <w:rsid w:val="7F6E2274"/>
    <w:rsid w:val="7FDB09A9"/>
    <w:rsid w:val="7FFE4E7D"/>
    <w:rsid w:val="7FFEFE44"/>
    <w:rsid w:val="A7D1BAEB"/>
    <w:rsid w:val="C7EBC60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iPriority="99" w:semiHidden="0" w:name="Body Text First Indent"/>
    <w:lsdException w:qFormat="1" w:unhideWhenUsed="0" w:uiPriority="0" w:semiHidden="0" w:name="Body Text First Indent 2"/>
    <w:lsdException w:qFormat="1" w:unhideWhenUsed="0" w:uiPriority="0" w:semiHidden="0"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37"/>
    <w:qFormat/>
    <w:locked/>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35"/>
    <w:qFormat/>
    <w:uiPriority w:val="99"/>
    <w:pPr>
      <w:spacing w:after="120" w:line="480" w:lineRule="auto"/>
      <w:ind w:left="420" w:leftChars="200"/>
    </w:pPr>
  </w:style>
  <w:style w:type="paragraph" w:styleId="4">
    <w:name w:val="Note Heading"/>
    <w:basedOn w:val="1"/>
    <w:next w:val="1"/>
    <w:qFormat/>
    <w:uiPriority w:val="0"/>
    <w:pPr>
      <w:jc w:val="center"/>
    </w:pPr>
  </w:style>
  <w:style w:type="paragraph" w:styleId="5">
    <w:name w:val="annotation text"/>
    <w:basedOn w:val="1"/>
    <w:link w:val="32"/>
    <w:semiHidden/>
    <w:qFormat/>
    <w:uiPriority w:val="99"/>
    <w:pPr>
      <w:jc w:val="left"/>
    </w:pPr>
  </w:style>
  <w:style w:type="paragraph" w:styleId="6">
    <w:name w:val="Body Text"/>
    <w:basedOn w:val="1"/>
    <w:next w:val="4"/>
    <w:link w:val="29"/>
    <w:semiHidden/>
    <w:qFormat/>
    <w:uiPriority w:val="99"/>
    <w:pPr>
      <w:widowControl/>
      <w:spacing w:line="450" w:lineRule="atLeast"/>
      <w:ind w:firstLine="480"/>
      <w:jc w:val="left"/>
    </w:pPr>
    <w:rPr>
      <w:rFonts w:ascii="宋体" w:hAnsi="宋体" w:cs="宋体"/>
      <w:spacing w:val="48"/>
      <w:kern w:val="0"/>
      <w:sz w:val="24"/>
      <w:szCs w:val="24"/>
    </w:rPr>
  </w:style>
  <w:style w:type="paragraph" w:styleId="7">
    <w:name w:val="Body Text Indent"/>
    <w:basedOn w:val="1"/>
    <w:qFormat/>
    <w:uiPriority w:val="0"/>
    <w:pPr>
      <w:snapToGrid w:val="0"/>
      <w:spacing w:line="560" w:lineRule="exact"/>
      <w:ind w:firstLine="600"/>
    </w:pPr>
    <w:rPr>
      <w:rFonts w:ascii="宋体" w:hAnsi="宋体"/>
      <w:color w:val="000000"/>
      <w:sz w:val="30"/>
    </w:rPr>
  </w:style>
  <w:style w:type="paragraph" w:styleId="8">
    <w:name w:val="Date"/>
    <w:basedOn w:val="1"/>
    <w:next w:val="1"/>
    <w:link w:val="36"/>
    <w:qFormat/>
    <w:uiPriority w:val="99"/>
    <w:pPr>
      <w:ind w:left="100" w:leftChars="2500"/>
    </w:pPr>
  </w:style>
  <w:style w:type="paragraph" w:styleId="9">
    <w:name w:val="Balloon Text"/>
    <w:basedOn w:val="1"/>
    <w:link w:val="34"/>
    <w:semiHidden/>
    <w:qFormat/>
    <w:uiPriority w:val="99"/>
    <w:rPr>
      <w:sz w:val="18"/>
      <w:szCs w:val="18"/>
    </w:rPr>
  </w:style>
  <w:style w:type="paragraph" w:styleId="10">
    <w:name w:val="footer"/>
    <w:basedOn w:val="1"/>
    <w:link w:val="31"/>
    <w:semiHidden/>
    <w:qFormat/>
    <w:uiPriority w:val="99"/>
    <w:pPr>
      <w:tabs>
        <w:tab w:val="center" w:pos="4153"/>
        <w:tab w:val="right" w:pos="8306"/>
      </w:tabs>
      <w:snapToGrid w:val="0"/>
      <w:jc w:val="left"/>
    </w:pPr>
    <w:rPr>
      <w:sz w:val="18"/>
      <w:szCs w:val="18"/>
    </w:rPr>
  </w:style>
  <w:style w:type="paragraph" w:styleId="11">
    <w:name w:val="header"/>
    <w:basedOn w:val="1"/>
    <w:link w:val="30"/>
    <w:semiHidden/>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3">
    <w:name w:val="annotation subject"/>
    <w:basedOn w:val="5"/>
    <w:next w:val="5"/>
    <w:link w:val="33"/>
    <w:semiHidden/>
    <w:qFormat/>
    <w:uiPriority w:val="99"/>
    <w:rPr>
      <w:b/>
      <w:bCs/>
    </w:rPr>
  </w:style>
  <w:style w:type="paragraph" w:styleId="14">
    <w:name w:val="Body Text First Indent"/>
    <w:basedOn w:val="6"/>
    <w:next w:val="1"/>
    <w:unhideWhenUsed/>
    <w:qFormat/>
    <w:uiPriority w:val="99"/>
    <w:pPr>
      <w:ind w:firstLine="420" w:firstLineChars="100"/>
    </w:pPr>
  </w:style>
  <w:style w:type="paragraph" w:styleId="15">
    <w:name w:val="Body Text First Indent 2"/>
    <w:basedOn w:val="7"/>
    <w:next w:val="14"/>
    <w:qFormat/>
    <w:uiPriority w:val="0"/>
    <w:pPr>
      <w:adjustRightInd w:val="0"/>
      <w:spacing w:line="360" w:lineRule="auto"/>
      <w:ind w:firstLine="1044"/>
    </w:pPr>
    <w:rPr>
      <w:rFonts w:ascii="Times New Roman" w:hAnsi="Times New Roman"/>
    </w:rPr>
  </w:style>
  <w:style w:type="character" w:styleId="18">
    <w:name w:val="Strong"/>
    <w:basedOn w:val="17"/>
    <w:qFormat/>
    <w:locked/>
    <w:uiPriority w:val="0"/>
    <w:rPr>
      <w:b/>
    </w:rPr>
  </w:style>
  <w:style w:type="character" w:styleId="19">
    <w:name w:val="page number"/>
    <w:basedOn w:val="17"/>
    <w:qFormat/>
    <w:uiPriority w:val="99"/>
    <w:rPr>
      <w:rFonts w:cs="Times New Roman"/>
    </w:rPr>
  </w:style>
  <w:style w:type="character" w:styleId="20">
    <w:name w:val="Emphasis"/>
    <w:basedOn w:val="17"/>
    <w:qFormat/>
    <w:locked/>
    <w:uiPriority w:val="0"/>
    <w:rPr>
      <w:i/>
    </w:rPr>
  </w:style>
  <w:style w:type="character" w:styleId="21">
    <w:name w:val="annotation reference"/>
    <w:basedOn w:val="17"/>
    <w:semiHidden/>
    <w:qFormat/>
    <w:uiPriority w:val="99"/>
    <w:rPr>
      <w:rFonts w:cs="Times New Roman"/>
      <w:sz w:val="21"/>
      <w:szCs w:val="21"/>
    </w:rPr>
  </w:style>
  <w:style w:type="paragraph" w:customStyle="1" w:styleId="22">
    <w:name w:val="正文(首行缩进)"/>
    <w:basedOn w:val="1"/>
    <w:qFormat/>
    <w:uiPriority w:val="0"/>
    <w:pPr>
      <w:adjustRightInd w:val="0"/>
      <w:snapToGrid w:val="0"/>
      <w:spacing w:line="360" w:lineRule="auto"/>
      <w:ind w:firstLine="200" w:firstLineChars="200"/>
    </w:pPr>
    <w:rPr>
      <w:snapToGrid w:val="0"/>
      <w:szCs w:val="24"/>
    </w:rPr>
  </w:style>
  <w:style w:type="paragraph" w:customStyle="1" w:styleId="23">
    <w:name w:val="_Style 2"/>
    <w:basedOn w:val="1"/>
    <w:qFormat/>
    <w:uiPriority w:val="99"/>
    <w:pPr>
      <w:spacing w:line="360" w:lineRule="auto"/>
      <w:ind w:firstLine="200" w:firstLineChars="200"/>
    </w:pPr>
    <w:rPr>
      <w:rFonts w:ascii="Times New Roman" w:hAnsi="Times New Roman"/>
      <w:szCs w:val="24"/>
    </w:rPr>
  </w:style>
  <w:style w:type="paragraph" w:customStyle="1" w:styleId="24">
    <w:name w:val="列出段落1"/>
    <w:basedOn w:val="1"/>
    <w:qFormat/>
    <w:uiPriority w:val="99"/>
    <w:pPr>
      <w:ind w:firstLine="420" w:firstLineChars="200"/>
    </w:pPr>
  </w:style>
  <w:style w:type="paragraph" w:customStyle="1" w:styleId="2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6">
    <w:name w:val="环评文本"/>
    <w:basedOn w:val="1"/>
    <w:qFormat/>
    <w:uiPriority w:val="0"/>
    <w:pPr>
      <w:spacing w:line="360" w:lineRule="auto"/>
      <w:ind w:firstLine="480" w:firstLineChars="200"/>
    </w:pPr>
    <w:rPr>
      <w:color w:val="000000"/>
      <w:sz w:val="24"/>
    </w:rPr>
  </w:style>
  <w:style w:type="paragraph" w:customStyle="1" w:styleId="27">
    <w:name w:val="0文本"/>
    <w:basedOn w:val="26"/>
    <w:qFormat/>
    <w:uiPriority w:val="0"/>
    <w:pPr>
      <w:tabs>
        <w:tab w:val="left" w:pos="4500"/>
      </w:tabs>
    </w:pPr>
    <w:rPr>
      <w:rFonts w:ascii="Times New Roman" w:hAnsi="Times New Roman"/>
    </w:rPr>
  </w:style>
  <w:style w:type="paragraph" w:customStyle="1" w:styleId="28">
    <w:name w:val="000正文abing(新)"/>
    <w:basedOn w:val="1"/>
    <w:qFormat/>
    <w:uiPriority w:val="0"/>
    <w:pPr>
      <w:widowControl/>
      <w:spacing w:line="440" w:lineRule="exact"/>
      <w:ind w:firstLine="480" w:firstLineChars="200"/>
    </w:pPr>
    <w:rPr>
      <w:rFonts w:eastAsia="Times New Roman"/>
      <w:sz w:val="24"/>
    </w:rPr>
  </w:style>
  <w:style w:type="character" w:customStyle="1" w:styleId="29">
    <w:name w:val="正文文本 Char"/>
    <w:basedOn w:val="17"/>
    <w:link w:val="6"/>
    <w:semiHidden/>
    <w:qFormat/>
    <w:locked/>
    <w:uiPriority w:val="99"/>
    <w:rPr>
      <w:rFonts w:ascii="宋体" w:hAnsi="宋体" w:eastAsia="宋体" w:cs="宋体"/>
      <w:spacing w:val="48"/>
      <w:kern w:val="0"/>
      <w:sz w:val="24"/>
      <w:szCs w:val="24"/>
    </w:rPr>
  </w:style>
  <w:style w:type="character" w:customStyle="1" w:styleId="30">
    <w:name w:val="页眉 Char"/>
    <w:basedOn w:val="17"/>
    <w:link w:val="11"/>
    <w:semiHidden/>
    <w:qFormat/>
    <w:locked/>
    <w:uiPriority w:val="99"/>
    <w:rPr>
      <w:rFonts w:cs="Times New Roman"/>
      <w:kern w:val="2"/>
      <w:sz w:val="18"/>
      <w:szCs w:val="18"/>
    </w:rPr>
  </w:style>
  <w:style w:type="character" w:customStyle="1" w:styleId="31">
    <w:name w:val="页脚 Char"/>
    <w:basedOn w:val="17"/>
    <w:link w:val="10"/>
    <w:semiHidden/>
    <w:qFormat/>
    <w:locked/>
    <w:uiPriority w:val="99"/>
    <w:rPr>
      <w:rFonts w:cs="Times New Roman"/>
      <w:kern w:val="2"/>
      <w:sz w:val="18"/>
      <w:szCs w:val="18"/>
    </w:rPr>
  </w:style>
  <w:style w:type="character" w:customStyle="1" w:styleId="32">
    <w:name w:val="批注文字 Char"/>
    <w:basedOn w:val="17"/>
    <w:link w:val="5"/>
    <w:semiHidden/>
    <w:qFormat/>
    <w:locked/>
    <w:uiPriority w:val="99"/>
    <w:rPr>
      <w:rFonts w:cs="Times New Roman"/>
    </w:rPr>
  </w:style>
  <w:style w:type="character" w:customStyle="1" w:styleId="33">
    <w:name w:val="批注主题 Char"/>
    <w:basedOn w:val="32"/>
    <w:link w:val="13"/>
    <w:semiHidden/>
    <w:qFormat/>
    <w:locked/>
    <w:uiPriority w:val="99"/>
    <w:rPr>
      <w:b/>
      <w:bCs/>
    </w:rPr>
  </w:style>
  <w:style w:type="character" w:customStyle="1" w:styleId="34">
    <w:name w:val="批注框文本 Char"/>
    <w:basedOn w:val="17"/>
    <w:link w:val="9"/>
    <w:semiHidden/>
    <w:qFormat/>
    <w:locked/>
    <w:uiPriority w:val="99"/>
    <w:rPr>
      <w:rFonts w:cs="Times New Roman"/>
      <w:sz w:val="2"/>
    </w:rPr>
  </w:style>
  <w:style w:type="character" w:customStyle="1" w:styleId="35">
    <w:name w:val="正文文本缩进 2 Char"/>
    <w:basedOn w:val="17"/>
    <w:link w:val="2"/>
    <w:semiHidden/>
    <w:qFormat/>
    <w:locked/>
    <w:uiPriority w:val="99"/>
    <w:rPr>
      <w:rFonts w:cs="Times New Roman"/>
    </w:rPr>
  </w:style>
  <w:style w:type="character" w:customStyle="1" w:styleId="36">
    <w:name w:val="日期 Char"/>
    <w:basedOn w:val="17"/>
    <w:link w:val="8"/>
    <w:semiHidden/>
    <w:qFormat/>
    <w:locked/>
    <w:uiPriority w:val="99"/>
    <w:rPr>
      <w:rFonts w:cs="Times New Roman"/>
    </w:rPr>
  </w:style>
  <w:style w:type="character" w:customStyle="1" w:styleId="37">
    <w:name w:val="标题 1 Char"/>
    <w:basedOn w:val="17"/>
    <w:link w:val="3"/>
    <w:qFormat/>
    <w:uiPriority w:val="9"/>
    <w:rPr>
      <w:rFonts w:ascii="宋体" w:hAnsi="宋体" w:cs="宋体"/>
      <w:b/>
      <w:bCs/>
      <w:kern w:val="3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1775</Words>
  <Characters>1840</Characters>
  <Lines>15</Lines>
  <Paragraphs>4</Paragraphs>
  <TotalTime>87</TotalTime>
  <ScaleCrop>false</ScaleCrop>
  <LinksUpToDate>false</LinksUpToDate>
  <CharactersWithSpaces>2118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2019-06-06T00:11:00Z</dcterms:created>
  <dc:creator>meiyongjin</dc:creator>
  <cp:lastModifiedBy>fjssms</cp:lastModifiedBy>
  <cp:lastPrinted>2026-07-21T16:58:00Z</cp:lastPrinted>
  <dcterms:modified xsi:type="dcterms:W3CDTF">2026-10-12T09:39:41Z</dcterms:modified>
  <dc:title>沙环函〔2014〕18号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241D04FCA1F44FD98E8C60CA6F83ED87</vt:lpwstr>
  </property>
  <property fmtid="{D5CDD505-2E9C-101B-9397-08002B2CF9AE}" pid="4" name="KSOTemplateDocerSaveRecord">
    <vt:lpwstr>eyJoZGlkIjoiMGRlYWVhOTU4NDBmMzViYjZiNTNiZjA5YzA4YTdjOTgiLCJ1c2VySWQiOiI5MzA4NzIxNzQifQ==</vt:lpwstr>
  </property>
</Properties>
</file>