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5A058">
      <w:pPr>
        <w:rPr>
          <w:rFonts w:hint="default" w:eastAsia="仿宋_GB2312"/>
          <w:sz w:val="32"/>
          <w:lang w:val="en-US" w:eastAsia="zh-CN"/>
        </w:rPr>
      </w:pPr>
      <w:r>
        <w:rPr>
          <w:rFonts w:hint="eastAsia" w:eastAsia="仿宋_GB2312"/>
          <w:sz w:val="32"/>
          <w:lang w:val="en-US" w:eastAsia="zh-CN"/>
        </w:rPr>
        <w:t xml:space="preserve">                                                                                                                                                                                                                   </w:t>
      </w:r>
    </w:p>
    <w:p w14:paraId="73C533D5">
      <w:pPr>
        <w:pStyle w:val="6"/>
      </w:pPr>
    </w:p>
    <w:p w14:paraId="61EEAA57">
      <w:pPr>
        <w:pStyle w:val="14"/>
        <w:ind w:firstLine="336"/>
      </w:pPr>
    </w:p>
    <w:p w14:paraId="26C62BFF">
      <w:pPr>
        <w:jc w:val="right"/>
        <w:rPr>
          <w:rFonts w:ascii="Times New Roman" w:hAnsi="Times New Roman" w:eastAsia="仿宋_GB2312"/>
          <w:sz w:val="32"/>
        </w:rPr>
      </w:pPr>
    </w:p>
    <w:p w14:paraId="08CE346F">
      <w:pPr>
        <w:pStyle w:val="6"/>
      </w:pPr>
    </w:p>
    <w:p w14:paraId="3BE68B80">
      <w:pPr>
        <w:pStyle w:val="6"/>
      </w:pPr>
    </w:p>
    <w:p w14:paraId="17260F00">
      <w:pPr>
        <w:keepNext w:val="0"/>
        <w:keepLines w:val="0"/>
        <w:pageBreakBefore w:val="0"/>
        <w:widowControl/>
        <w:kinsoku/>
        <w:wordWrap/>
        <w:overflowPunct/>
        <w:topLinePunct w:val="0"/>
        <w:autoSpaceDE/>
        <w:autoSpaceDN/>
        <w:bidi w:val="0"/>
        <w:adjustRightInd/>
        <w:snapToGrid/>
        <w:spacing w:line="540" w:lineRule="exact"/>
        <w:ind w:firstLine="630"/>
        <w:jc w:val="righ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明环评沙函〔202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lang w:eastAsia="zh-CN"/>
        </w:rPr>
        <w:t>号</w:t>
      </w:r>
    </w:p>
    <w:p w14:paraId="7E04838E">
      <w:pPr>
        <w:spacing w:line="500" w:lineRule="exact"/>
        <w:rPr>
          <w:rFonts w:ascii="Times New Roman" w:hAnsi="Times New Roman" w:eastAsia="仿宋_GB2312"/>
          <w:kern w:val="0"/>
          <w:sz w:val="32"/>
          <w:szCs w:val="32"/>
        </w:rPr>
      </w:pPr>
    </w:p>
    <w:p w14:paraId="5BAC7233">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ascii="Times New Roman" w:hAnsi="Times New Roman" w:eastAsia="方正小标宋简体"/>
          <w:kern w:val="0"/>
          <w:sz w:val="44"/>
          <w:szCs w:val="44"/>
        </w:rPr>
      </w:pPr>
      <w:r>
        <w:rPr>
          <w:rFonts w:ascii="Times New Roman" w:hAnsi="Times New Roman" w:eastAsia="方正小标宋简体"/>
          <w:kern w:val="0"/>
          <w:sz w:val="44"/>
          <w:szCs w:val="44"/>
        </w:rPr>
        <w:t>三明市生态环境局关于</w:t>
      </w:r>
      <w:r>
        <w:rPr>
          <w:rFonts w:hint="eastAsia" w:ascii="Times New Roman" w:hAnsi="Times New Roman" w:eastAsia="方正小标宋简体"/>
          <w:kern w:val="0"/>
          <w:sz w:val="44"/>
          <w:szCs w:val="44"/>
          <w:lang w:eastAsia="zh-CN"/>
        </w:rPr>
        <w:t>福建思科硅材料有限公司天然气锅炉改建项目</w:t>
      </w:r>
      <w:r>
        <w:rPr>
          <w:rFonts w:ascii="Times New Roman" w:hAnsi="Times New Roman" w:eastAsia="方正小标宋简体"/>
          <w:kern w:val="0"/>
          <w:sz w:val="44"/>
          <w:szCs w:val="44"/>
        </w:rPr>
        <w:t>环境影响</w:t>
      </w:r>
      <w:r>
        <w:rPr>
          <w:rFonts w:hint="eastAsia" w:ascii="Times New Roman" w:hAnsi="Times New Roman" w:eastAsia="方正小标宋简体"/>
          <w:kern w:val="0"/>
          <w:sz w:val="44"/>
          <w:szCs w:val="44"/>
        </w:rPr>
        <w:t>报告表</w:t>
      </w:r>
      <w:r>
        <w:rPr>
          <w:rFonts w:ascii="Times New Roman" w:hAnsi="Times New Roman" w:eastAsia="方正小标宋简体"/>
          <w:kern w:val="0"/>
          <w:sz w:val="44"/>
          <w:szCs w:val="44"/>
        </w:rPr>
        <w:t>的批复</w:t>
      </w:r>
    </w:p>
    <w:p w14:paraId="0331C042">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方正仿宋简体"/>
          <w:kern w:val="0"/>
          <w:sz w:val="32"/>
          <w:szCs w:val="32"/>
        </w:rPr>
      </w:pPr>
    </w:p>
    <w:p w14:paraId="6A0E3998">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福建思科硅材料有限公司</w:t>
      </w:r>
      <w:r>
        <w:rPr>
          <w:rFonts w:hint="eastAsia" w:ascii="仿宋_GB2312" w:hAnsi="仿宋_GB2312" w:eastAsia="仿宋_GB2312" w:cs="仿宋_GB2312"/>
          <w:kern w:val="0"/>
          <w:sz w:val="32"/>
          <w:szCs w:val="32"/>
        </w:rPr>
        <w:t>：</w:t>
      </w:r>
    </w:p>
    <w:p w14:paraId="1F18AF30">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报送的《</w:t>
      </w:r>
      <w:r>
        <w:rPr>
          <w:rFonts w:hint="eastAsia" w:ascii="仿宋_GB2312" w:hAnsi="仿宋_GB2312" w:eastAsia="仿宋_GB2312" w:cs="仿宋_GB2312"/>
          <w:kern w:val="0"/>
          <w:sz w:val="32"/>
          <w:szCs w:val="32"/>
          <w:lang w:eastAsia="zh-CN"/>
        </w:rPr>
        <w:t>福建思科硅材料有限公司天然气锅炉改建项目</w:t>
      </w:r>
      <w:r>
        <w:rPr>
          <w:rFonts w:hint="eastAsia" w:ascii="仿宋_GB2312" w:hAnsi="仿宋_GB2312" w:eastAsia="仿宋_GB2312" w:cs="仿宋_GB2312"/>
          <w:kern w:val="0"/>
          <w:sz w:val="32"/>
          <w:szCs w:val="32"/>
        </w:rPr>
        <w:t>环境影响报告表》（以下简称“报告表”）和申请审批的函收悉。我局于</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w:t>
      </w:r>
      <w:r>
        <w:rPr>
          <w:rFonts w:hint="eastAsia" w:ascii="仿宋_GB2312" w:hAnsi="仿宋_GB2312" w:eastAsia="仿宋_GB2312" w:cs="仿宋_GB2312"/>
          <w:kern w:val="0"/>
          <w:sz w:val="32"/>
          <w:szCs w:val="32"/>
        </w:rPr>
        <w:t>受理该报告表的审批申请，在沙县区人民政府门户网站对受理情况进行公开，并将报告表全本公示；于202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日在沙县区人民政府门户网站对报告表拟作出的审批意见进行公开；上述公示、公开期间，我局未收到关于本报告表的意见。在审查过程中，因该报告表部分内容需进一步补充、完善，</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日申请暂停审批流程</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重新提交修改完善的报告表，我局重启办件。经研究，对该项目环境影响报告表批复如下</w:t>
      </w:r>
      <w:r>
        <w:rPr>
          <w:rFonts w:hint="eastAsia" w:ascii="方正仿宋简体" w:hAnsi="方正仿宋简体" w:eastAsia="方正仿宋简体" w:cs="方正仿宋简体"/>
          <w:kern w:val="0"/>
          <w:sz w:val="32"/>
          <w:szCs w:val="32"/>
        </w:rPr>
        <w:t>：</w:t>
      </w:r>
    </w:p>
    <w:p w14:paraId="59155ACF">
      <w:pPr>
        <w:keepNext w:val="0"/>
        <w:keepLines w:val="0"/>
        <w:pageBreakBefore w:val="0"/>
        <w:widowControl/>
        <w:numPr>
          <w:ilvl w:val="0"/>
          <w:numId w:val="1"/>
        </w:numPr>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rPr>
        <w:t>拟建项目选址于</w:t>
      </w:r>
      <w:r>
        <w:rPr>
          <w:rFonts w:hint="eastAsia" w:ascii="仿宋_GB2312" w:hAnsi="仿宋_GB2312" w:eastAsia="仿宋_GB2312" w:cs="仿宋_GB2312"/>
          <w:kern w:val="0"/>
          <w:sz w:val="32"/>
          <w:szCs w:val="32"/>
          <w:lang w:eastAsia="zh-CN"/>
        </w:rPr>
        <w:t>福建省三明市沙县区琅口镇茅坪村</w:t>
      </w:r>
      <w:r>
        <w:rPr>
          <w:rFonts w:hint="eastAsia" w:ascii="仿宋_GB2312" w:hAnsi="仿宋_GB2312" w:eastAsia="仿宋_GB2312" w:cs="仿宋_GB2312"/>
          <w:kern w:val="0"/>
          <w:sz w:val="32"/>
          <w:szCs w:val="32"/>
          <w:lang w:val="en-US" w:eastAsia="zh-CN"/>
        </w:rPr>
        <w:t>281号（沙县仙武工业园区）</w:t>
      </w:r>
      <w:r>
        <w:rPr>
          <w:rFonts w:hint="eastAsia" w:ascii="仿宋_GB2312" w:hAnsi="仿宋_GB2312" w:eastAsia="仿宋_GB2312" w:cs="仿宋_GB2312"/>
          <w:kern w:val="0"/>
          <w:sz w:val="32"/>
          <w:szCs w:val="32"/>
          <w:lang w:eastAsia="zh-CN"/>
        </w:rPr>
        <w:t>，新增</w:t>
      </w:r>
      <w:r>
        <w:rPr>
          <w:rFonts w:hint="eastAsia" w:ascii="仿宋_GB2312" w:hAnsi="仿宋_GB2312" w:eastAsia="仿宋_GB2312" w:cs="仿宋_GB2312"/>
          <w:kern w:val="0"/>
          <w:sz w:val="32"/>
          <w:szCs w:val="32"/>
          <w:lang w:val="en-US" w:eastAsia="zh-CN"/>
        </w:rPr>
        <w:t>2台8蒸吨/小时燃天然气锅炉，主要产品生产工艺及产能不变</w:t>
      </w:r>
      <w:r>
        <w:rPr>
          <w:rFonts w:hint="eastAsia" w:ascii="仿宋_GB2312" w:hAnsi="仿宋_GB2312" w:eastAsia="仿宋_GB2312" w:cs="仿宋_GB2312"/>
          <w:kern w:val="0"/>
          <w:sz w:val="32"/>
          <w:szCs w:val="32"/>
          <w:lang w:eastAsia="zh-CN"/>
        </w:rPr>
        <w:t>。</w:t>
      </w:r>
    </w:p>
    <w:p w14:paraId="55859B1F">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根据报告表评价结论</w:t>
      </w:r>
      <w:r>
        <w:rPr>
          <w:rFonts w:hint="eastAsia" w:ascii="仿宋_GB2312" w:hAnsi="仿宋_GB2312" w:eastAsia="仿宋_GB2312" w:cs="仿宋_GB2312"/>
          <w:kern w:val="0"/>
          <w:sz w:val="32"/>
          <w:szCs w:val="32"/>
          <w:lang w:eastAsia="zh-CN"/>
        </w:rPr>
        <w:t>及专家技术评估意见</w:t>
      </w:r>
      <w:r>
        <w:rPr>
          <w:rFonts w:hint="eastAsia" w:ascii="仿宋_GB2312" w:hAnsi="仿宋_GB2312" w:eastAsia="仿宋_GB2312" w:cs="仿宋_GB2312"/>
          <w:kern w:val="0"/>
          <w:sz w:val="32"/>
          <w:szCs w:val="32"/>
        </w:rPr>
        <w:t>，项目建设符合《三明市生态环境局关于发布三明市2023年生态环境分区管控动态更新成果的通知》</w:t>
      </w:r>
      <w:r>
        <w:rPr>
          <w:rFonts w:hint="eastAsia" w:ascii="仿宋_GB2312" w:hAnsi="仿宋_GB2312" w:eastAsia="仿宋_GB2312" w:cs="仿宋_GB2312"/>
          <w:kern w:val="0"/>
          <w:sz w:val="32"/>
          <w:szCs w:val="32"/>
          <w:lang w:eastAsia="zh-CN"/>
        </w:rPr>
        <w:t>（明环规〔202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〕2号）</w:t>
      </w:r>
      <w:r>
        <w:rPr>
          <w:rFonts w:hint="eastAsia" w:ascii="仿宋_GB2312" w:hAnsi="仿宋_GB2312" w:eastAsia="仿宋_GB2312" w:cs="仿宋_GB2312"/>
          <w:kern w:val="0"/>
          <w:sz w:val="32"/>
          <w:szCs w:val="32"/>
        </w:rPr>
        <w:t>的要求，在全面落实报告表提出的各项污染防治措施后，项目建设对环境的不利影响能够得到缓解和控制。因此，我局从环境保护方面同意报告表中所列建设项目的性质、规模、地点、采用的生产工艺、生态环境保护和环境风险防范对策措施。</w:t>
      </w:r>
    </w:p>
    <w:p w14:paraId="4D61FA65">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二、在项目工程设计、建设和环境管理中，</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必须严格落实报告表提出的各项环保要求，并着重做好以下工作：</w:t>
      </w:r>
    </w:p>
    <w:p w14:paraId="63B98612">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加强水污染防治。</w:t>
      </w:r>
      <w:r>
        <w:rPr>
          <w:rFonts w:hint="eastAsia" w:ascii="仿宋_GB2312" w:hAnsi="仿宋_GB2312" w:eastAsia="仿宋_GB2312" w:cs="仿宋_GB2312"/>
          <w:kern w:val="0"/>
          <w:sz w:val="32"/>
          <w:szCs w:val="32"/>
          <w:lang w:eastAsia="zh-CN"/>
        </w:rPr>
        <w:t>项目锅炉废水经厂区污水处理站处理后经编号GC-350427-0061-GY-00</w:t>
      </w:r>
      <w:r>
        <w:rPr>
          <w:rFonts w:hint="eastAsia" w:ascii="仿宋_GB2312" w:hAnsi="仿宋_GB2312" w:eastAsia="仿宋_GB2312" w:cs="仿宋_GB2312"/>
          <w:kern w:val="0"/>
          <w:sz w:val="32"/>
          <w:szCs w:val="32"/>
          <w:lang w:val="en-US" w:eastAsia="zh-CN"/>
        </w:rPr>
        <w:t>排污口</w:t>
      </w:r>
      <w:r>
        <w:rPr>
          <w:rFonts w:hint="eastAsia" w:ascii="仿宋_GB2312" w:hAnsi="仿宋_GB2312" w:eastAsia="仿宋_GB2312" w:cs="仿宋_GB2312"/>
          <w:kern w:val="0"/>
          <w:sz w:val="32"/>
          <w:szCs w:val="32"/>
          <w:lang w:eastAsia="zh-CN"/>
        </w:rPr>
        <w:t>外排。</w:t>
      </w:r>
    </w:p>
    <w:p w14:paraId="1FA288E2">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（二）加强大气污染防治。2台锅炉烟气通过2根15米高排气筒排放</w:t>
      </w:r>
      <w:r>
        <w:rPr>
          <w:rFonts w:hint="eastAsia" w:ascii="仿宋_GB2312" w:hAnsi="仿宋_GB2312" w:eastAsia="仿宋_GB2312" w:cs="仿宋_GB2312"/>
          <w:kern w:val="0"/>
          <w:sz w:val="32"/>
          <w:szCs w:val="32"/>
          <w:lang w:eastAsia="zh-CN"/>
        </w:rPr>
        <w:t>。</w:t>
      </w:r>
    </w:p>
    <w:p w14:paraId="129F6E22">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（三）加强噪声污染防治。</w:t>
      </w:r>
      <w:r>
        <w:rPr>
          <w:rFonts w:hint="eastAsia" w:ascii="仿宋_GB2312" w:hAnsi="仿宋_GB2312" w:eastAsia="仿宋_GB2312" w:cs="仿宋_GB2312"/>
          <w:kern w:val="0"/>
          <w:sz w:val="32"/>
          <w:szCs w:val="32"/>
        </w:rPr>
        <w:t>优先选用低噪声设备，优化</w:t>
      </w:r>
      <w:r>
        <w:rPr>
          <w:rFonts w:hint="eastAsia" w:ascii="仿宋_GB2312" w:hAnsi="仿宋_GB2312" w:eastAsia="仿宋_GB2312" w:cs="仿宋_GB2312"/>
          <w:kern w:val="0"/>
          <w:sz w:val="32"/>
          <w:szCs w:val="32"/>
          <w:lang w:eastAsia="zh-CN"/>
        </w:rPr>
        <w:t>厂区</w:t>
      </w:r>
      <w:r>
        <w:rPr>
          <w:rFonts w:hint="eastAsia" w:ascii="仿宋_GB2312" w:hAnsi="仿宋_GB2312" w:eastAsia="仿宋_GB2312" w:cs="仿宋_GB2312"/>
          <w:kern w:val="0"/>
          <w:sz w:val="32"/>
          <w:szCs w:val="32"/>
        </w:rPr>
        <w:t>平面布置，合理布置高噪声设备，对高噪声设备采取基础减振、隔声、消声等降噪措施，并加强机械设备的保养和维护，防止噪声扰民。</w:t>
      </w:r>
    </w:p>
    <w:p w14:paraId="1121A941">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四）加强固体废物污染防治。按照有关规定，对固体废物实施分类处理、处置，做到“资源化、减量化、无害化”。一般固体废物应进行综合处置，最大限度地减少最终处置量，不能回收利用的须按国家有关规定妥善贮存处置，不得产生二次污染</w:t>
      </w:r>
      <w:r>
        <w:rPr>
          <w:rFonts w:hint="eastAsia" w:ascii="仿宋_GB2312" w:hAnsi="仿宋_GB2312" w:eastAsia="仿宋_GB2312" w:cs="仿宋_GB2312"/>
          <w:kern w:val="0"/>
          <w:sz w:val="32"/>
          <w:szCs w:val="32"/>
        </w:rPr>
        <w:t>。</w:t>
      </w:r>
    </w:p>
    <w:p w14:paraId="2A4441ED">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（五）加强污染源管理工作。</w:t>
      </w:r>
      <w:r>
        <w:rPr>
          <w:rFonts w:hint="eastAsia" w:ascii="仿宋_GB2312" w:hAnsi="仿宋_GB2312" w:eastAsia="仿宋_GB2312" w:cs="仿宋_GB2312"/>
          <w:kern w:val="0"/>
          <w:sz w:val="32"/>
          <w:szCs w:val="32"/>
        </w:rPr>
        <w:t>按照国家和地方有关规定设置规范的污染物排放口，并设立标志牌</w:t>
      </w:r>
      <w:r>
        <w:rPr>
          <w:rFonts w:hint="eastAsia" w:ascii="仿宋_GB2312" w:hAnsi="仿宋_GB2312" w:eastAsia="仿宋_GB2312" w:cs="仿宋_GB2312"/>
          <w:kern w:val="0"/>
          <w:sz w:val="32"/>
          <w:szCs w:val="32"/>
          <w:lang w:eastAsia="zh-CN"/>
        </w:rPr>
        <w:t>；排气筒应按规范要求预留永久性监测口，并</w:t>
      </w:r>
      <w:r>
        <w:rPr>
          <w:rFonts w:hint="eastAsia" w:ascii="仿宋_GB2312" w:hAnsi="仿宋_GB2312" w:eastAsia="仿宋_GB2312" w:cs="仿宋_GB2312"/>
          <w:kern w:val="0"/>
          <w:sz w:val="32"/>
          <w:szCs w:val="32"/>
        </w:rPr>
        <w:t>按自行监测</w:t>
      </w:r>
      <w:r>
        <w:rPr>
          <w:rFonts w:hint="eastAsia" w:ascii="仿宋_GB2312" w:hAnsi="仿宋_GB2312" w:eastAsia="仿宋_GB2312" w:cs="仿宋_GB2312"/>
          <w:kern w:val="0"/>
          <w:sz w:val="32"/>
          <w:szCs w:val="32"/>
          <w:lang w:eastAsia="zh-CN"/>
        </w:rPr>
        <w:t>要求</w:t>
      </w:r>
      <w:r>
        <w:rPr>
          <w:rFonts w:hint="eastAsia" w:ascii="仿宋_GB2312" w:hAnsi="仿宋_GB2312" w:eastAsia="仿宋_GB2312" w:cs="仿宋_GB2312"/>
          <w:kern w:val="0"/>
          <w:sz w:val="32"/>
          <w:szCs w:val="32"/>
        </w:rPr>
        <w:t>开展生产运行阶段污染源及对周边环境质量影响监测。</w:t>
      </w:r>
    </w:p>
    <w:p w14:paraId="23E3D98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本项目新增</w:t>
      </w:r>
      <w:r>
        <w:rPr>
          <w:rFonts w:hint="eastAsia" w:ascii="仿宋_GB2312" w:hAnsi="仿宋_GB2312" w:eastAsia="仿宋_GB2312" w:cs="仿宋_GB2312"/>
          <w:kern w:val="0"/>
          <w:sz w:val="32"/>
          <w:szCs w:val="32"/>
        </w:rPr>
        <w:t>污染物排放量为：</w:t>
      </w:r>
      <w:r>
        <w:rPr>
          <w:rFonts w:hint="eastAsia" w:ascii="仿宋_GB2312" w:hAnsi="仿宋_GB2312" w:eastAsia="仿宋_GB2312" w:cs="仿宋_GB2312"/>
          <w:kern w:val="0"/>
          <w:sz w:val="32"/>
          <w:szCs w:val="32"/>
          <w:lang w:eastAsia="zh-CN"/>
        </w:rPr>
        <w:t>二氧化硫</w:t>
      </w:r>
      <w:r>
        <w:rPr>
          <w:rFonts w:hint="eastAsia" w:ascii="仿宋_GB2312" w:hAnsi="仿宋_GB2312" w:eastAsia="仿宋_GB2312" w:cs="仿宋_GB2312"/>
          <w:kern w:val="0"/>
          <w:sz w:val="32"/>
          <w:szCs w:val="32"/>
          <w:lang w:val="en-US" w:eastAsia="zh-CN"/>
        </w:rPr>
        <w:t>1.248</w:t>
      </w:r>
      <w:r>
        <w:rPr>
          <w:rFonts w:hint="eastAsia" w:ascii="仿宋_GB2312" w:hAnsi="仿宋_GB2312" w:eastAsia="仿宋_GB2312" w:cs="仿宋_GB2312"/>
          <w:kern w:val="0"/>
          <w:sz w:val="32"/>
          <w:szCs w:val="32"/>
          <w:lang w:eastAsia="zh-CN"/>
        </w:rPr>
        <w:t>吨/年、氮氧化物</w:t>
      </w:r>
      <w:r>
        <w:rPr>
          <w:rFonts w:hint="eastAsia" w:ascii="仿宋_GB2312" w:hAnsi="仿宋_GB2312" w:eastAsia="仿宋_GB2312" w:cs="仿宋_GB2312"/>
          <w:kern w:val="0"/>
          <w:sz w:val="32"/>
          <w:szCs w:val="32"/>
          <w:lang w:val="en-US" w:eastAsia="zh-CN"/>
        </w:rPr>
        <w:t>1.89吨/年。根据《三明市生态环境局关于印发授权各县（市）生态环境局开展行政许可具体工作方案（试行）的通知》（明环〔2019〕33号）的要求，新增污染物排放量应购买排污权及来源确认。项目建设地点不属于省级（含以上）工业园区范围，属于城市建成区，行业类别为热力生产和供应工程，不属于国家和省实行总量控制的重点排污行业，不属于四项污染物的主要排放行业，不属于闽江流域上游的水污染型工业项目。按照重点区域和行业总量倍量调剂原则，</w:t>
      </w:r>
      <w:r>
        <w:rPr>
          <w:rFonts w:hint="eastAsia" w:ascii="仿宋_GB2312" w:hAnsi="仿宋_GB2312" w:eastAsia="仿宋_GB2312" w:cs="仿宋_GB2312"/>
          <w:kern w:val="0"/>
          <w:sz w:val="32"/>
          <w:szCs w:val="32"/>
          <w:lang w:eastAsia="zh-CN"/>
        </w:rPr>
        <w:t>二氧化硫、氮氧化物均按</w:t>
      </w:r>
      <w:r>
        <w:rPr>
          <w:rFonts w:hint="eastAsia" w:ascii="仿宋_GB2312" w:hAnsi="仿宋_GB2312" w:eastAsia="仿宋_GB2312" w:cs="仿宋_GB2312"/>
          <w:kern w:val="0"/>
          <w:sz w:val="32"/>
          <w:szCs w:val="32"/>
          <w:lang w:val="en-US" w:eastAsia="zh-CN"/>
        </w:rPr>
        <w:t>1.2×1.5倍调剂，本次所需申购总量为</w:t>
      </w:r>
      <w:r>
        <w:rPr>
          <w:rFonts w:hint="eastAsia" w:ascii="仿宋_GB2312" w:hAnsi="仿宋_GB2312" w:eastAsia="仿宋_GB2312" w:cs="仿宋_GB2312"/>
          <w:kern w:val="0"/>
          <w:sz w:val="32"/>
          <w:szCs w:val="32"/>
          <w:lang w:eastAsia="zh-CN"/>
        </w:rPr>
        <w:t>二氧化硫</w:t>
      </w:r>
      <w:r>
        <w:rPr>
          <w:rFonts w:hint="eastAsia" w:ascii="仿宋_GB2312" w:hAnsi="仿宋_GB2312" w:eastAsia="仿宋_GB2312" w:cs="仿宋_GB2312"/>
          <w:kern w:val="0"/>
          <w:sz w:val="32"/>
          <w:szCs w:val="32"/>
          <w:lang w:val="en-US" w:eastAsia="zh-CN"/>
        </w:rPr>
        <w:t>2.2464</w:t>
      </w:r>
      <w:r>
        <w:rPr>
          <w:rFonts w:hint="eastAsia" w:ascii="仿宋_GB2312" w:hAnsi="仿宋_GB2312" w:eastAsia="仿宋_GB2312" w:cs="仿宋_GB2312"/>
          <w:kern w:val="0"/>
          <w:sz w:val="32"/>
          <w:szCs w:val="32"/>
          <w:lang w:eastAsia="zh-CN"/>
        </w:rPr>
        <w:t>吨/年、氮氧化物</w:t>
      </w:r>
      <w:r>
        <w:rPr>
          <w:rFonts w:hint="eastAsia" w:ascii="仿宋_GB2312" w:hAnsi="仿宋_GB2312" w:eastAsia="仿宋_GB2312" w:cs="仿宋_GB2312"/>
          <w:kern w:val="0"/>
          <w:sz w:val="32"/>
          <w:szCs w:val="32"/>
          <w:lang w:val="en-US" w:eastAsia="zh-CN"/>
        </w:rPr>
        <w:t>3.402吨/年。项目正式排污前你公司应自行向福建海峡资源环境交易中心有限公司（地址：福州市鼓楼区五四路75号外贸大厦19层03单元）申购所需总量。</w:t>
      </w:r>
    </w:p>
    <w:p w14:paraId="3D5A124B">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项目建设应严格执行环境保护设施与主体工程同时设计、同时施工、同时投产使用的环境保护“三同时”制度，并做好与排污许可证申领的衔接。项目竣工后，按规定及时开展竣工环境保护验收。</w:t>
      </w:r>
    </w:p>
    <w:p w14:paraId="1C6B33B2">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、在项目施工和运营过程中，应建立畅通的公众参与平台，满足公众合理的环境保护要求；按照国家法律、法规要求，做好环境信息公开，定期发布企业环境信息，主动接受社会监督。</w:t>
      </w:r>
    </w:p>
    <w:p w14:paraId="1DCC15BB">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、建设项目的环境影响评价文件经批准后，建设项目的性质、规模、地点、采用的生产工艺或者防治污染、防止生态破坏的措施发生重大变动的，建设单位应当重新报批建设项目的环境影响评价文件。</w:t>
      </w:r>
    </w:p>
    <w:p w14:paraId="377810A8">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七</w:t>
      </w:r>
      <w:r>
        <w:rPr>
          <w:rFonts w:hint="eastAsia" w:ascii="仿宋_GB2312" w:hAnsi="仿宋_GB2312" w:eastAsia="仿宋_GB2312" w:cs="仿宋_GB2312"/>
          <w:kern w:val="0"/>
          <w:sz w:val="32"/>
          <w:szCs w:val="32"/>
        </w:rPr>
        <w:t>、我局委托三明市沙县生态环境保护综合执法大队组织开展“三同时”监督检查和日常监督管理工作。</w:t>
      </w:r>
    </w:p>
    <w:p w14:paraId="3739E8B5">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方正仿宋简体" w:hAnsi="方正仿宋简体" w:eastAsia="方正仿宋简体" w:cs="方正仿宋简体"/>
          <w:kern w:val="0"/>
          <w:sz w:val="32"/>
          <w:szCs w:val="32"/>
          <w:lang w:val="en-US" w:eastAsia="zh-CN"/>
        </w:rPr>
      </w:pPr>
      <w:r>
        <w:rPr>
          <w:rFonts w:hint="eastAsia" w:ascii="方正仿宋简体" w:hAnsi="方正仿宋简体" w:eastAsia="方正仿宋简体" w:cs="方正仿宋简体"/>
          <w:kern w:val="0"/>
          <w:sz w:val="32"/>
          <w:szCs w:val="32"/>
          <w:lang w:val="en-US" w:eastAsia="zh-CN"/>
        </w:rPr>
        <w:t xml:space="preserve">                           </w:t>
      </w:r>
    </w:p>
    <w:p w14:paraId="115E1760">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方正仿宋简体" w:hAnsi="方正仿宋简体" w:eastAsia="方正仿宋简体" w:cs="方正仿宋简体"/>
          <w:kern w:val="0"/>
          <w:sz w:val="32"/>
          <w:szCs w:val="32"/>
          <w:lang w:val="en-US" w:eastAsia="zh-CN"/>
        </w:rPr>
      </w:pPr>
    </w:p>
    <w:p w14:paraId="07E9B54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方正仿宋简体" w:hAnsi="方正仿宋简体" w:eastAsia="方正仿宋简体" w:cs="方正仿宋简体"/>
          <w:kern w:val="0"/>
          <w:sz w:val="32"/>
          <w:szCs w:val="32"/>
          <w:lang w:val="en-US" w:eastAsia="zh-CN"/>
        </w:rPr>
        <w:t xml:space="preserve">                            </w:t>
      </w:r>
      <w:r>
        <w:rPr>
          <w:rFonts w:hint="eastAsia" w:ascii="仿宋_GB2312" w:hAnsi="仿宋_GB2312" w:eastAsia="仿宋_GB2312" w:cs="仿宋_GB2312"/>
          <w:kern w:val="0"/>
          <w:sz w:val="32"/>
          <w:szCs w:val="32"/>
        </w:rPr>
        <w:t>三明市生态环境局</w:t>
      </w:r>
    </w:p>
    <w:p w14:paraId="2B46CE18">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rPr>
        <w:t>日</w:t>
      </w:r>
    </w:p>
    <w:p w14:paraId="64A40D5D">
      <w:pPr>
        <w:pStyle w:val="4"/>
      </w:pPr>
    </w:p>
    <w:p w14:paraId="63C03BE2"/>
    <w:p w14:paraId="2BC044C0">
      <w:pPr>
        <w:pStyle w:val="6"/>
      </w:pPr>
    </w:p>
    <w:p w14:paraId="48AAB9CF">
      <w:pPr>
        <w:pStyle w:val="4"/>
      </w:pPr>
    </w:p>
    <w:p w14:paraId="3BECCAEB">
      <w:pPr>
        <w:pStyle w:val="2"/>
        <w:ind w:left="0" w:leftChars="0" w:firstLine="0" w:firstLineChars="0"/>
      </w:pPr>
    </w:p>
    <w:p w14:paraId="65B1AEF9">
      <w:pPr>
        <w:pStyle w:val="2"/>
      </w:pPr>
    </w:p>
    <w:p w14:paraId="426A1749"/>
    <w:p w14:paraId="6B74B562">
      <w:pPr>
        <w:pStyle w:val="2"/>
      </w:pPr>
    </w:p>
    <w:p w14:paraId="43E3EADC"/>
    <w:p w14:paraId="238B9380">
      <w:pPr>
        <w:pStyle w:val="2"/>
      </w:pPr>
    </w:p>
    <w:p w14:paraId="6BE6E2C8"/>
    <w:p w14:paraId="4586C337">
      <w:pPr>
        <w:pStyle w:val="2"/>
      </w:pPr>
    </w:p>
    <w:p w14:paraId="5F73FCA8">
      <w:bookmarkStart w:id="0" w:name="_GoBack"/>
      <w:bookmarkEnd w:id="0"/>
    </w:p>
    <w:p w14:paraId="1FF9E269">
      <w:pPr>
        <w:pStyle w:val="2"/>
      </w:pPr>
    </w:p>
    <w:p w14:paraId="7E53A831"/>
    <w:p w14:paraId="04AF3BF4">
      <w:pPr>
        <w:spacing w:line="570" w:lineRule="exact"/>
      </w:pPr>
      <w:r>
        <w:rPr>
          <w:rFonts w:ascii="Times New Roman" w:hAnsi="Times New Roman" w:eastAsia="方正仿宋简体"/>
          <w:kern w:val="0"/>
          <w:sz w:val="32"/>
          <w:szCs w:val="32"/>
        </w:rPr>
        <w:t>（此件主动公开）</w:t>
      </w:r>
    </w:p>
    <w:p w14:paraId="03B1E5FA">
      <w:pPr>
        <w:widowControl/>
        <w:spacing w:line="260" w:lineRule="exact"/>
        <w:ind w:firstLine="3255" w:firstLineChars="1550"/>
        <w:rPr>
          <w:rFonts w:ascii="Times New Roman" w:hAnsi="Times New Roman" w:eastAsia="方正仿宋_GBK"/>
          <w:kern w:val="0"/>
          <w:sz w:val="32"/>
          <w:szCs w:val="32"/>
        </w:rPr>
      </w:pPr>
      <w:r>
        <w:rPr>
          <w:rFonts w:ascii="Times New Roman" w:hAnsi="Times New Roman"/>
        </w:rPr>
        <w:pict>
          <v:line id="_x0000_s1026" o:spid="_x0000_s1026" o:spt="20" style="position:absolute;left:0pt;margin-left:0pt;margin-top:12pt;height:0.05pt;width:441pt;z-index:251659264;mso-width-relative:page;mso-height-relative:page;" coordsize="21600,21600" o:gfxdata="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sYaaNMAAAAGAQAADwAAAAAAAAABACAAAAAiAAAAZHJzL2Rv&#10;d25yZXYueG1sUEsBAhQAFAAAAAgAh07iQHQkApXNAQAAjwMAAA4AAAAAAAAAAQAgAAAAIgEAAGRy&#10;cy9lMm9Eb2MueG1sUEsFBgAAAAAGAAYAWQEAAGEFAAAAAA==&#10;">
            <v:path arrowok="t"/>
            <v:fill focussize="0,0"/>
            <v:stroke/>
            <v:imagedata o:title=""/>
            <o:lock v:ext="edit"/>
          </v:line>
        </w:pict>
      </w:r>
    </w:p>
    <w:p w14:paraId="6B7946CE">
      <w:pPr>
        <w:widowControl/>
        <w:spacing w:line="360" w:lineRule="exact"/>
        <w:ind w:left="1181" w:leftChars="134" w:hanging="900" w:hangingChars="300"/>
        <w:rPr>
          <w:rFonts w:ascii="Times New Roman" w:hAnsi="Times New Roman" w:eastAsia="方正仿宋简体"/>
          <w:kern w:val="0"/>
          <w:sz w:val="30"/>
          <w:szCs w:val="30"/>
        </w:rPr>
      </w:pPr>
      <w:r>
        <w:rPr>
          <w:rFonts w:ascii="Times New Roman" w:hAnsi="Times New Roman" w:eastAsia="方正仿宋简体"/>
          <w:kern w:val="0"/>
          <w:sz w:val="30"/>
          <w:szCs w:val="30"/>
        </w:rPr>
        <w:t>抄送：</w:t>
      </w:r>
      <w:r>
        <w:rPr>
          <w:rFonts w:hint="eastAsia" w:ascii="Times New Roman" w:hAnsi="Times New Roman" w:eastAsia="方正仿宋简体"/>
          <w:kern w:val="0"/>
          <w:sz w:val="30"/>
          <w:szCs w:val="30"/>
          <w:lang w:eastAsia="zh-CN"/>
        </w:rPr>
        <w:t>三明市沙县区虬江街道办事处，区工信局，深圳市华禹环评科技有限公司。</w:t>
      </w:r>
    </w:p>
    <w:p w14:paraId="58069687">
      <w:pPr>
        <w:widowControl/>
        <w:spacing w:line="700" w:lineRule="exact"/>
        <w:ind w:firstLine="300" w:firstLineChars="100"/>
        <w:rPr>
          <w:rFonts w:ascii="Times New Roman" w:hAnsi="Times New Roman" w:eastAsia="方正仿宋简体"/>
          <w:kern w:val="0"/>
          <w:sz w:val="30"/>
          <w:szCs w:val="30"/>
        </w:rPr>
      </w:pPr>
      <w:r>
        <w:rPr>
          <w:rFonts w:ascii="Times New Roman" w:hAnsi="Times New Roman" w:eastAsia="方正仿宋简体"/>
          <w:kern w:val="0"/>
          <w:sz w:val="30"/>
          <w:szCs w:val="30"/>
        </w:rPr>
        <w:pict>
          <v:line id="直线 3" o:spid="_x0000_s1028" o:spt="20" style="position:absolute;left:0pt;margin-left:0pt;margin-top:39.4pt;height:0.05pt;width:441pt;z-index:251659264;mso-width-relative:page;mso-height-relative:page;" coordsize="21600,21600" o:gfxdata="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MrwyvTAAAABgEAAA8AAAAAAAAAAQAgAAAAIgAAAGRycy9k&#10;b3ducmV2LnhtbFBLAQIUABQAAAAIAIdO4kBqiOtdzgEAAI8DAAAOAAAAAAAAAAEAIAAAACIBAABk&#10;cnMvZTJvRG9jLnhtbFBLBQYAAAAABgAGAFkBAABiBQAAAAA=&#10;">
            <v:path arrowok="t"/>
            <v:fill focussize="0,0"/>
            <v:stroke/>
            <v:imagedata o:title=""/>
            <o:lock v:ext="edit"/>
          </v:line>
        </w:pict>
      </w:r>
      <w:r>
        <w:rPr>
          <w:rFonts w:ascii="Times New Roman" w:hAnsi="Times New Roman" w:eastAsia="方正仿宋简体"/>
          <w:kern w:val="0"/>
          <w:sz w:val="30"/>
          <w:szCs w:val="30"/>
        </w:rPr>
        <w:pict>
          <v:line id="直线 4" o:spid="_x0000_s1027" o:spt="20" style="position:absolute;left:0pt;margin-left:0pt;margin-top:7.4pt;height:0.05pt;width:441pt;z-index:251659264;mso-width-relative:page;mso-height-relative:page;" coordsize="21600,21600" o:gfxdata="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4ejtJ9IAAAAGAQAADwAAAAAAAAABACAAAAAiAAAAZHJzL2Rv&#10;d25yZXYueG1sUEsBAhQAFAAAAAgAh07iQDWjlmTOAQAAjwMAAA4AAAAAAAAAAQAgAAAAIQEAAGRy&#10;cy9lMm9Eb2MueG1sUEsFBgAAAAAGAAYAWQEAAGEFAAAAAA==&#10;">
            <v:path arrowok="t"/>
            <v:fill focussize="0,0"/>
            <v:stroke/>
            <v:imagedata o:title=""/>
            <o:lock v:ext="edit"/>
          </v:line>
        </w:pict>
      </w:r>
      <w:r>
        <w:rPr>
          <w:rFonts w:ascii="Times New Roman" w:hAnsi="Times New Roman" w:eastAsia="方正仿宋简体"/>
          <w:kern w:val="0"/>
          <w:sz w:val="30"/>
          <w:szCs w:val="30"/>
        </w:rPr>
        <w:t>三明市</w:t>
      </w:r>
      <w:r>
        <w:rPr>
          <w:rFonts w:hint="eastAsia" w:ascii="Times New Roman" w:hAnsi="Times New Roman" w:eastAsia="方正仿宋简体"/>
          <w:kern w:val="0"/>
          <w:sz w:val="30"/>
          <w:szCs w:val="30"/>
          <w:lang w:eastAsia="zh-CN"/>
        </w:rPr>
        <w:t>沙县</w:t>
      </w:r>
      <w:r>
        <w:rPr>
          <w:rFonts w:ascii="Times New Roman" w:hAnsi="Times New Roman" w:eastAsia="方正仿宋简体"/>
          <w:kern w:val="0"/>
          <w:sz w:val="30"/>
          <w:szCs w:val="30"/>
        </w:rPr>
        <w:t xml:space="preserve">生态环境局办公室   </w:t>
      </w:r>
      <w:r>
        <w:rPr>
          <w:rFonts w:hint="eastAsia" w:ascii="Times New Roman" w:hAnsi="Times New Roman" w:eastAsia="方正仿宋简体"/>
          <w:kern w:val="0"/>
          <w:sz w:val="30"/>
          <w:szCs w:val="30"/>
          <w:lang w:val="en-US" w:eastAsia="zh-CN"/>
        </w:rPr>
        <w:t xml:space="preserve">         </w:t>
      </w:r>
      <w:r>
        <w:rPr>
          <w:rFonts w:hint="eastAsia" w:ascii="Times New Roman" w:hAnsi="Times New Roman" w:eastAsia="方正仿宋简体"/>
          <w:kern w:val="0"/>
          <w:sz w:val="30"/>
          <w:szCs w:val="30"/>
        </w:rPr>
        <w:t>202</w:t>
      </w:r>
      <w:r>
        <w:rPr>
          <w:rFonts w:hint="eastAsia" w:ascii="Times New Roman" w:hAnsi="Times New Roman" w:eastAsia="方正仿宋简体"/>
          <w:kern w:val="0"/>
          <w:sz w:val="30"/>
          <w:szCs w:val="30"/>
          <w:lang w:val="en-US" w:eastAsia="zh-CN"/>
        </w:rPr>
        <w:t>6</w:t>
      </w:r>
      <w:r>
        <w:rPr>
          <w:rFonts w:hint="eastAsia" w:ascii="Times New Roman" w:hAnsi="Times New Roman" w:eastAsia="方正仿宋简体"/>
          <w:kern w:val="0"/>
          <w:sz w:val="30"/>
          <w:szCs w:val="30"/>
        </w:rPr>
        <w:t>年</w:t>
      </w:r>
      <w:r>
        <w:rPr>
          <w:rFonts w:hint="eastAsia" w:ascii="Times New Roman" w:hAnsi="Times New Roman" w:eastAsia="方正仿宋简体"/>
          <w:kern w:val="0"/>
          <w:sz w:val="30"/>
          <w:szCs w:val="30"/>
          <w:lang w:val="en-US" w:eastAsia="zh-CN"/>
        </w:rPr>
        <w:t>8</w:t>
      </w:r>
      <w:r>
        <w:rPr>
          <w:rFonts w:hint="eastAsia" w:ascii="Times New Roman" w:hAnsi="Times New Roman" w:eastAsia="方正仿宋简体"/>
          <w:kern w:val="0"/>
          <w:sz w:val="30"/>
          <w:szCs w:val="30"/>
        </w:rPr>
        <w:t>月</w:t>
      </w:r>
      <w:r>
        <w:rPr>
          <w:rFonts w:hint="eastAsia" w:ascii="Times New Roman" w:hAnsi="Times New Roman" w:eastAsia="方正仿宋简体"/>
          <w:kern w:val="0"/>
          <w:sz w:val="30"/>
          <w:szCs w:val="30"/>
          <w:lang w:val="en-US" w:eastAsia="zh-CN"/>
        </w:rPr>
        <w:t>11</w:t>
      </w:r>
      <w:r>
        <w:rPr>
          <w:rFonts w:hint="eastAsia" w:ascii="Times New Roman" w:hAnsi="Times New Roman" w:eastAsia="方正仿宋简体"/>
          <w:kern w:val="0"/>
          <w:sz w:val="30"/>
          <w:szCs w:val="30"/>
        </w:rPr>
        <w:t>日</w:t>
      </w:r>
      <w:r>
        <w:rPr>
          <w:rFonts w:ascii="Times New Roman" w:hAnsi="Times New Roman" w:eastAsia="方正仿宋简体"/>
          <w:kern w:val="0"/>
          <w:sz w:val="30"/>
          <w:szCs w:val="30"/>
        </w:rPr>
        <w:t>印发</w:t>
      </w:r>
    </w:p>
    <w:sectPr>
      <w:headerReference r:id="rId3" w:type="default"/>
      <w:footerReference r:id="rId4" w:type="default"/>
      <w:footerReference r:id="rId5" w:type="even"/>
      <w:pgSz w:w="11906" w:h="16838"/>
      <w:pgMar w:top="1531" w:right="1531" w:bottom="1531"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BACDB">
    <w:pPr>
      <w:pStyle w:val="10"/>
      <w:framePr w:wrap="around" w:vAnchor="text" w:hAnchor="margin" w:xAlign="outside" w:y="1"/>
      <w:rPr>
        <w:rStyle w:val="19"/>
        <w:rFonts w:ascii="方正仿宋简体" w:eastAsia="方正仿宋简体"/>
        <w:sz w:val="28"/>
        <w:szCs w:val="28"/>
      </w:rPr>
    </w:pPr>
    <w:r>
      <w:rPr>
        <w:rStyle w:val="19"/>
        <w:rFonts w:ascii="方正仿宋简体" w:eastAsia="方正仿宋简体"/>
        <w:sz w:val="28"/>
        <w:szCs w:val="28"/>
      </w:rPr>
      <w:fldChar w:fldCharType="begin"/>
    </w:r>
    <w:r>
      <w:rPr>
        <w:rStyle w:val="19"/>
        <w:rFonts w:ascii="方正仿宋简体" w:eastAsia="方正仿宋简体"/>
        <w:sz w:val="28"/>
        <w:szCs w:val="28"/>
      </w:rPr>
      <w:instrText xml:space="preserve">PAGE  </w:instrText>
    </w:r>
    <w:r>
      <w:rPr>
        <w:rStyle w:val="19"/>
        <w:rFonts w:ascii="方正仿宋简体" w:eastAsia="方正仿宋简体"/>
        <w:sz w:val="28"/>
        <w:szCs w:val="28"/>
      </w:rPr>
      <w:fldChar w:fldCharType="separate"/>
    </w:r>
    <w:r>
      <w:rPr>
        <w:rStyle w:val="19"/>
        <w:rFonts w:ascii="方正仿宋简体" w:eastAsia="方正仿宋简体"/>
        <w:sz w:val="28"/>
        <w:szCs w:val="28"/>
      </w:rPr>
      <w:t>- 1 -</w:t>
    </w:r>
    <w:r>
      <w:rPr>
        <w:rStyle w:val="19"/>
        <w:rFonts w:ascii="方正仿宋简体" w:eastAsia="方正仿宋简体"/>
        <w:sz w:val="28"/>
        <w:szCs w:val="28"/>
      </w:rPr>
      <w:fldChar w:fldCharType="end"/>
    </w:r>
  </w:p>
  <w:p w14:paraId="03BA88DA">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BD945">
    <w:pPr>
      <w:pStyle w:val="10"/>
      <w:framePr w:wrap="around" w:vAnchor="text" w:hAnchor="margin" w:xAlign="outside" w:y="1"/>
      <w:rPr>
        <w:rStyle w:val="19"/>
      </w:rPr>
    </w:pPr>
    <w:r>
      <w:rPr>
        <w:rStyle w:val="19"/>
      </w:rPr>
      <w:fldChar w:fldCharType="begin"/>
    </w:r>
    <w:r>
      <w:rPr>
        <w:rStyle w:val="19"/>
      </w:rPr>
      <w:instrText xml:space="preserve">PAGE  </w:instrText>
    </w:r>
    <w:r>
      <w:rPr>
        <w:rStyle w:val="19"/>
      </w:rPr>
      <w:fldChar w:fldCharType="separate"/>
    </w:r>
    <w:r>
      <w:rPr>
        <w:rStyle w:val="19"/>
      </w:rPr>
      <w:t>- 2 -</w:t>
    </w:r>
    <w:r>
      <w:rPr>
        <w:rStyle w:val="19"/>
      </w:rPr>
      <w:fldChar w:fldCharType="end"/>
    </w:r>
  </w:p>
  <w:p w14:paraId="2ECBF90F">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FE140">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79260A"/>
    <w:multiLevelType w:val="singleLevel"/>
    <w:tmpl w:val="6A79260A"/>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zMThmM2ZjZGRlYWNmZTlkZjBkNDhkM2UyNDVlMjkifQ=="/>
  </w:docVars>
  <w:rsids>
    <w:rsidRoot w:val="00B1451C"/>
    <w:rsid w:val="00141E94"/>
    <w:rsid w:val="001C0124"/>
    <w:rsid w:val="001E3666"/>
    <w:rsid w:val="00405AAE"/>
    <w:rsid w:val="00462D99"/>
    <w:rsid w:val="004D1365"/>
    <w:rsid w:val="005C35E4"/>
    <w:rsid w:val="005D54F0"/>
    <w:rsid w:val="006429FA"/>
    <w:rsid w:val="006462ED"/>
    <w:rsid w:val="00660C3A"/>
    <w:rsid w:val="00706573"/>
    <w:rsid w:val="00712C04"/>
    <w:rsid w:val="00720C81"/>
    <w:rsid w:val="00736E93"/>
    <w:rsid w:val="007A1902"/>
    <w:rsid w:val="007F5AA7"/>
    <w:rsid w:val="008E4AD4"/>
    <w:rsid w:val="009D01C5"/>
    <w:rsid w:val="009F1EE4"/>
    <w:rsid w:val="00A95B51"/>
    <w:rsid w:val="00B1451C"/>
    <w:rsid w:val="00B66EF8"/>
    <w:rsid w:val="00BD4BA4"/>
    <w:rsid w:val="00CA4891"/>
    <w:rsid w:val="00D52ABB"/>
    <w:rsid w:val="00EB6E81"/>
    <w:rsid w:val="00FD00AC"/>
    <w:rsid w:val="014B7296"/>
    <w:rsid w:val="022852EA"/>
    <w:rsid w:val="02986AC6"/>
    <w:rsid w:val="03602938"/>
    <w:rsid w:val="03880C56"/>
    <w:rsid w:val="04411BD7"/>
    <w:rsid w:val="0573340B"/>
    <w:rsid w:val="059C6826"/>
    <w:rsid w:val="07496CCE"/>
    <w:rsid w:val="07CC09EB"/>
    <w:rsid w:val="08652D8D"/>
    <w:rsid w:val="08A6542C"/>
    <w:rsid w:val="08BA6CD9"/>
    <w:rsid w:val="08C478EE"/>
    <w:rsid w:val="099F42D8"/>
    <w:rsid w:val="09DB04D1"/>
    <w:rsid w:val="09DB3168"/>
    <w:rsid w:val="0A203CA8"/>
    <w:rsid w:val="0ABF156C"/>
    <w:rsid w:val="0B8029C9"/>
    <w:rsid w:val="0BED605A"/>
    <w:rsid w:val="0D0851A3"/>
    <w:rsid w:val="0D4F44E1"/>
    <w:rsid w:val="0D956115"/>
    <w:rsid w:val="0DD674ED"/>
    <w:rsid w:val="0F6A6C9F"/>
    <w:rsid w:val="0FE74C78"/>
    <w:rsid w:val="10BC1D00"/>
    <w:rsid w:val="1121440F"/>
    <w:rsid w:val="11594131"/>
    <w:rsid w:val="14A4387E"/>
    <w:rsid w:val="14FC83E9"/>
    <w:rsid w:val="155248DD"/>
    <w:rsid w:val="16847A90"/>
    <w:rsid w:val="1A580641"/>
    <w:rsid w:val="1AEA0782"/>
    <w:rsid w:val="1B7C68AF"/>
    <w:rsid w:val="1B9F29B6"/>
    <w:rsid w:val="1BDA67F4"/>
    <w:rsid w:val="1C692389"/>
    <w:rsid w:val="1CE633A0"/>
    <w:rsid w:val="1CFD6A44"/>
    <w:rsid w:val="1E1F74BD"/>
    <w:rsid w:val="1F2604E0"/>
    <w:rsid w:val="1F664CDF"/>
    <w:rsid w:val="1F8100F4"/>
    <w:rsid w:val="1FD506E5"/>
    <w:rsid w:val="1FFAC835"/>
    <w:rsid w:val="202270D5"/>
    <w:rsid w:val="214B3109"/>
    <w:rsid w:val="21977AC2"/>
    <w:rsid w:val="21C11563"/>
    <w:rsid w:val="231A1DDD"/>
    <w:rsid w:val="232A6740"/>
    <w:rsid w:val="237A6EBD"/>
    <w:rsid w:val="23A32539"/>
    <w:rsid w:val="24925CBD"/>
    <w:rsid w:val="24CE556E"/>
    <w:rsid w:val="24DC7127"/>
    <w:rsid w:val="25354272"/>
    <w:rsid w:val="25754083"/>
    <w:rsid w:val="25DC74D4"/>
    <w:rsid w:val="25E77F32"/>
    <w:rsid w:val="276A1974"/>
    <w:rsid w:val="27CE3C25"/>
    <w:rsid w:val="29B26359"/>
    <w:rsid w:val="29DFF6BA"/>
    <w:rsid w:val="2A766A80"/>
    <w:rsid w:val="2AB920B5"/>
    <w:rsid w:val="2C322253"/>
    <w:rsid w:val="2C7A6359"/>
    <w:rsid w:val="2D051137"/>
    <w:rsid w:val="2D370090"/>
    <w:rsid w:val="2DBD12E1"/>
    <w:rsid w:val="2FBE7814"/>
    <w:rsid w:val="3060697A"/>
    <w:rsid w:val="31596E3F"/>
    <w:rsid w:val="32A61601"/>
    <w:rsid w:val="33B9459B"/>
    <w:rsid w:val="34F34F5A"/>
    <w:rsid w:val="35002EE0"/>
    <w:rsid w:val="358B58CD"/>
    <w:rsid w:val="35BA3DFA"/>
    <w:rsid w:val="35E0619A"/>
    <w:rsid w:val="360C18E2"/>
    <w:rsid w:val="37BE1F7B"/>
    <w:rsid w:val="398A6189"/>
    <w:rsid w:val="3A2C0A30"/>
    <w:rsid w:val="3A720EF8"/>
    <w:rsid w:val="3B336BD2"/>
    <w:rsid w:val="3B425B6B"/>
    <w:rsid w:val="3C884495"/>
    <w:rsid w:val="3C9E4878"/>
    <w:rsid w:val="3CC52D38"/>
    <w:rsid w:val="3D576952"/>
    <w:rsid w:val="3EF33DA4"/>
    <w:rsid w:val="3F124C2C"/>
    <w:rsid w:val="3F6D6119"/>
    <w:rsid w:val="3FDF9A18"/>
    <w:rsid w:val="40851B16"/>
    <w:rsid w:val="40BE52B1"/>
    <w:rsid w:val="444C2E64"/>
    <w:rsid w:val="44704CCF"/>
    <w:rsid w:val="44F04ADD"/>
    <w:rsid w:val="45132AAF"/>
    <w:rsid w:val="45315BC1"/>
    <w:rsid w:val="455C4324"/>
    <w:rsid w:val="45C91073"/>
    <w:rsid w:val="47FA3FC4"/>
    <w:rsid w:val="4853745C"/>
    <w:rsid w:val="49AB5A2E"/>
    <w:rsid w:val="4B5E6D10"/>
    <w:rsid w:val="4BD66201"/>
    <w:rsid w:val="4CCF20E6"/>
    <w:rsid w:val="4EDF361D"/>
    <w:rsid w:val="4FAE4DE6"/>
    <w:rsid w:val="50407728"/>
    <w:rsid w:val="50C70AEA"/>
    <w:rsid w:val="50F70BD7"/>
    <w:rsid w:val="51960EC3"/>
    <w:rsid w:val="51C71460"/>
    <w:rsid w:val="51D4551B"/>
    <w:rsid w:val="52E25D5D"/>
    <w:rsid w:val="52FF52F8"/>
    <w:rsid w:val="53A76EA9"/>
    <w:rsid w:val="54280B64"/>
    <w:rsid w:val="54DF1F2B"/>
    <w:rsid w:val="54FB75FB"/>
    <w:rsid w:val="55AB4D30"/>
    <w:rsid w:val="561B7CFF"/>
    <w:rsid w:val="569C67B0"/>
    <w:rsid w:val="56A90338"/>
    <w:rsid w:val="56BD71D7"/>
    <w:rsid w:val="571F3F93"/>
    <w:rsid w:val="5724243C"/>
    <w:rsid w:val="57264D71"/>
    <w:rsid w:val="575B008C"/>
    <w:rsid w:val="59CA6A67"/>
    <w:rsid w:val="5AB20E18"/>
    <w:rsid w:val="5BC13296"/>
    <w:rsid w:val="5DAF25BA"/>
    <w:rsid w:val="5DE06A28"/>
    <w:rsid w:val="5E0A37A4"/>
    <w:rsid w:val="5E314A39"/>
    <w:rsid w:val="5E8F76EA"/>
    <w:rsid w:val="5FAA42E4"/>
    <w:rsid w:val="5FE041D4"/>
    <w:rsid w:val="5FE309AC"/>
    <w:rsid w:val="604918C6"/>
    <w:rsid w:val="60A33482"/>
    <w:rsid w:val="6114089B"/>
    <w:rsid w:val="613B1492"/>
    <w:rsid w:val="61DB3EC6"/>
    <w:rsid w:val="623F62F1"/>
    <w:rsid w:val="640229B5"/>
    <w:rsid w:val="645A795A"/>
    <w:rsid w:val="662E5D88"/>
    <w:rsid w:val="6662787B"/>
    <w:rsid w:val="66AB0444"/>
    <w:rsid w:val="67D5568F"/>
    <w:rsid w:val="68724AB4"/>
    <w:rsid w:val="68DF30B7"/>
    <w:rsid w:val="68E325CC"/>
    <w:rsid w:val="69421289"/>
    <w:rsid w:val="69591B8C"/>
    <w:rsid w:val="69CA5C6E"/>
    <w:rsid w:val="6AC9386F"/>
    <w:rsid w:val="6AF05195"/>
    <w:rsid w:val="6B9841AA"/>
    <w:rsid w:val="6C1E1836"/>
    <w:rsid w:val="6C2157F2"/>
    <w:rsid w:val="6DB87DCC"/>
    <w:rsid w:val="6DE17DF0"/>
    <w:rsid w:val="6DFE693E"/>
    <w:rsid w:val="6E1108C0"/>
    <w:rsid w:val="6E3A1BAE"/>
    <w:rsid w:val="6E8E1310"/>
    <w:rsid w:val="6EA85649"/>
    <w:rsid w:val="6FD52E85"/>
    <w:rsid w:val="703D33CF"/>
    <w:rsid w:val="72426DE5"/>
    <w:rsid w:val="73462428"/>
    <w:rsid w:val="73C35EAE"/>
    <w:rsid w:val="7436549D"/>
    <w:rsid w:val="745F1753"/>
    <w:rsid w:val="75070127"/>
    <w:rsid w:val="75CF7368"/>
    <w:rsid w:val="7692131E"/>
    <w:rsid w:val="76CC35EA"/>
    <w:rsid w:val="76DF5951"/>
    <w:rsid w:val="78F44C22"/>
    <w:rsid w:val="79A8022B"/>
    <w:rsid w:val="7A895403"/>
    <w:rsid w:val="7AC45CD4"/>
    <w:rsid w:val="7B4546B7"/>
    <w:rsid w:val="7B4D670C"/>
    <w:rsid w:val="7B747DD4"/>
    <w:rsid w:val="7B93015F"/>
    <w:rsid w:val="7BC840DB"/>
    <w:rsid w:val="7BCE60C2"/>
    <w:rsid w:val="7DB03D50"/>
    <w:rsid w:val="7F1B6DE2"/>
    <w:rsid w:val="7F6E2274"/>
    <w:rsid w:val="7FDB09A9"/>
    <w:rsid w:val="7FFE4E7D"/>
    <w:rsid w:val="7FFEFE44"/>
    <w:rsid w:val="A7D1BAEB"/>
    <w:rsid w:val="C7EBC608"/>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qFormat="1" w:unhideWhenUsed="0" w:uiPriority="0" w:semiHidden="0"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8"/>
    <w:qFormat/>
    <w:locked/>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Body Text Indent 2"/>
    <w:basedOn w:val="1"/>
    <w:next w:val="1"/>
    <w:link w:val="36"/>
    <w:qFormat/>
    <w:uiPriority w:val="99"/>
    <w:pPr>
      <w:spacing w:after="120" w:line="480" w:lineRule="auto"/>
      <w:ind w:left="420" w:leftChars="200"/>
    </w:pPr>
  </w:style>
  <w:style w:type="paragraph" w:styleId="4">
    <w:name w:val="Note Heading"/>
    <w:basedOn w:val="1"/>
    <w:next w:val="1"/>
    <w:qFormat/>
    <w:uiPriority w:val="0"/>
    <w:pPr>
      <w:jc w:val="center"/>
    </w:pPr>
  </w:style>
  <w:style w:type="paragraph" w:styleId="5">
    <w:name w:val="annotation text"/>
    <w:basedOn w:val="1"/>
    <w:link w:val="33"/>
    <w:semiHidden/>
    <w:qFormat/>
    <w:uiPriority w:val="99"/>
    <w:pPr>
      <w:jc w:val="left"/>
    </w:pPr>
  </w:style>
  <w:style w:type="paragraph" w:styleId="6">
    <w:name w:val="Body Text"/>
    <w:basedOn w:val="1"/>
    <w:next w:val="4"/>
    <w:link w:val="30"/>
    <w:semiHidden/>
    <w:qFormat/>
    <w:uiPriority w:val="99"/>
    <w:pPr>
      <w:widowControl/>
      <w:spacing w:line="450" w:lineRule="atLeast"/>
      <w:ind w:firstLine="480"/>
      <w:jc w:val="left"/>
    </w:pPr>
    <w:rPr>
      <w:rFonts w:ascii="宋体" w:hAnsi="宋体" w:cs="宋体"/>
      <w:spacing w:val="48"/>
      <w:kern w:val="0"/>
      <w:sz w:val="24"/>
      <w:szCs w:val="24"/>
    </w:rPr>
  </w:style>
  <w:style w:type="paragraph" w:styleId="7">
    <w:name w:val="Body Text Indent"/>
    <w:basedOn w:val="1"/>
    <w:qFormat/>
    <w:uiPriority w:val="0"/>
    <w:pPr>
      <w:snapToGrid w:val="0"/>
      <w:spacing w:line="560" w:lineRule="exact"/>
      <w:ind w:firstLine="600"/>
    </w:pPr>
    <w:rPr>
      <w:rFonts w:ascii="宋体" w:hAnsi="宋体"/>
      <w:color w:val="000000"/>
      <w:sz w:val="30"/>
    </w:rPr>
  </w:style>
  <w:style w:type="paragraph" w:styleId="8">
    <w:name w:val="Date"/>
    <w:basedOn w:val="1"/>
    <w:next w:val="1"/>
    <w:link w:val="37"/>
    <w:qFormat/>
    <w:uiPriority w:val="99"/>
    <w:pPr>
      <w:ind w:left="100" w:leftChars="2500"/>
    </w:pPr>
  </w:style>
  <w:style w:type="paragraph" w:styleId="9">
    <w:name w:val="Balloon Text"/>
    <w:basedOn w:val="1"/>
    <w:link w:val="35"/>
    <w:semiHidden/>
    <w:qFormat/>
    <w:uiPriority w:val="99"/>
    <w:rPr>
      <w:sz w:val="18"/>
      <w:szCs w:val="18"/>
    </w:rPr>
  </w:style>
  <w:style w:type="paragraph" w:styleId="10">
    <w:name w:val="footer"/>
    <w:basedOn w:val="1"/>
    <w:link w:val="32"/>
    <w:semiHidden/>
    <w:qFormat/>
    <w:uiPriority w:val="99"/>
    <w:pPr>
      <w:tabs>
        <w:tab w:val="center" w:pos="4153"/>
        <w:tab w:val="right" w:pos="8306"/>
      </w:tabs>
      <w:snapToGrid w:val="0"/>
      <w:jc w:val="left"/>
    </w:pPr>
    <w:rPr>
      <w:sz w:val="18"/>
      <w:szCs w:val="18"/>
    </w:rPr>
  </w:style>
  <w:style w:type="paragraph" w:styleId="11">
    <w:name w:val="header"/>
    <w:basedOn w:val="1"/>
    <w:link w:val="31"/>
    <w:semiHidden/>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3">
    <w:name w:val="annotation subject"/>
    <w:basedOn w:val="5"/>
    <w:next w:val="5"/>
    <w:link w:val="34"/>
    <w:semiHidden/>
    <w:qFormat/>
    <w:uiPriority w:val="99"/>
    <w:rPr>
      <w:b/>
      <w:bCs/>
    </w:rPr>
  </w:style>
  <w:style w:type="paragraph" w:styleId="14">
    <w:name w:val="Body Text First Indent"/>
    <w:basedOn w:val="6"/>
    <w:next w:val="1"/>
    <w:unhideWhenUsed/>
    <w:qFormat/>
    <w:uiPriority w:val="99"/>
    <w:pPr>
      <w:ind w:firstLine="420" w:firstLineChars="100"/>
    </w:pPr>
  </w:style>
  <w:style w:type="paragraph" w:styleId="15">
    <w:name w:val="Body Text First Indent 2"/>
    <w:basedOn w:val="7"/>
    <w:next w:val="14"/>
    <w:qFormat/>
    <w:uiPriority w:val="0"/>
    <w:pPr>
      <w:adjustRightInd w:val="0"/>
      <w:spacing w:line="360" w:lineRule="auto"/>
      <w:ind w:firstLine="1044"/>
    </w:pPr>
    <w:rPr>
      <w:rFonts w:ascii="Times New Roman" w:hAnsi="Times New Roman"/>
    </w:rPr>
  </w:style>
  <w:style w:type="character" w:styleId="18">
    <w:name w:val="Strong"/>
    <w:basedOn w:val="17"/>
    <w:qFormat/>
    <w:locked/>
    <w:uiPriority w:val="0"/>
    <w:rPr>
      <w:b/>
    </w:rPr>
  </w:style>
  <w:style w:type="character" w:styleId="19">
    <w:name w:val="page number"/>
    <w:basedOn w:val="17"/>
    <w:qFormat/>
    <w:uiPriority w:val="99"/>
    <w:rPr>
      <w:rFonts w:cs="Times New Roman"/>
    </w:rPr>
  </w:style>
  <w:style w:type="character" w:styleId="20">
    <w:name w:val="Emphasis"/>
    <w:basedOn w:val="17"/>
    <w:qFormat/>
    <w:locked/>
    <w:uiPriority w:val="0"/>
    <w:rPr>
      <w:i/>
    </w:rPr>
  </w:style>
  <w:style w:type="character" w:styleId="21">
    <w:name w:val="Hyperlink"/>
    <w:basedOn w:val="17"/>
    <w:unhideWhenUsed/>
    <w:qFormat/>
    <w:uiPriority w:val="99"/>
    <w:rPr>
      <w:color w:val="0000FF"/>
      <w:u w:val="single"/>
    </w:rPr>
  </w:style>
  <w:style w:type="character" w:styleId="22">
    <w:name w:val="annotation reference"/>
    <w:basedOn w:val="17"/>
    <w:semiHidden/>
    <w:qFormat/>
    <w:uiPriority w:val="99"/>
    <w:rPr>
      <w:rFonts w:cs="Times New Roman"/>
      <w:sz w:val="21"/>
      <w:szCs w:val="21"/>
    </w:rPr>
  </w:style>
  <w:style w:type="paragraph" w:customStyle="1" w:styleId="23">
    <w:name w:val="正文(首行缩进)"/>
    <w:basedOn w:val="1"/>
    <w:qFormat/>
    <w:uiPriority w:val="0"/>
    <w:pPr>
      <w:adjustRightInd w:val="0"/>
      <w:snapToGrid w:val="0"/>
      <w:spacing w:line="360" w:lineRule="auto"/>
      <w:ind w:firstLine="200" w:firstLineChars="200"/>
    </w:pPr>
    <w:rPr>
      <w:snapToGrid w:val="0"/>
      <w:szCs w:val="24"/>
    </w:rPr>
  </w:style>
  <w:style w:type="paragraph" w:customStyle="1" w:styleId="24">
    <w:name w:val="_Style 2"/>
    <w:basedOn w:val="1"/>
    <w:qFormat/>
    <w:uiPriority w:val="99"/>
    <w:pPr>
      <w:spacing w:line="360" w:lineRule="auto"/>
      <w:ind w:firstLine="200" w:firstLineChars="200"/>
    </w:pPr>
    <w:rPr>
      <w:rFonts w:ascii="Times New Roman" w:hAnsi="Times New Roman"/>
      <w:szCs w:val="24"/>
    </w:rPr>
  </w:style>
  <w:style w:type="paragraph" w:customStyle="1" w:styleId="25">
    <w:name w:val="列出段落1"/>
    <w:basedOn w:val="1"/>
    <w:qFormat/>
    <w:uiPriority w:val="99"/>
    <w:pPr>
      <w:ind w:firstLine="420" w:firstLineChars="200"/>
    </w:pPr>
  </w:style>
  <w:style w:type="paragraph" w:customStyle="1" w:styleId="2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7">
    <w:name w:val="环评文本"/>
    <w:basedOn w:val="1"/>
    <w:qFormat/>
    <w:uiPriority w:val="0"/>
    <w:pPr>
      <w:spacing w:line="360" w:lineRule="auto"/>
      <w:ind w:firstLine="480" w:firstLineChars="200"/>
    </w:pPr>
    <w:rPr>
      <w:color w:val="000000"/>
      <w:sz w:val="24"/>
    </w:rPr>
  </w:style>
  <w:style w:type="paragraph" w:customStyle="1" w:styleId="28">
    <w:name w:val="0文本"/>
    <w:basedOn w:val="27"/>
    <w:qFormat/>
    <w:uiPriority w:val="0"/>
    <w:pPr>
      <w:tabs>
        <w:tab w:val="left" w:pos="4500"/>
      </w:tabs>
    </w:pPr>
    <w:rPr>
      <w:rFonts w:ascii="Times New Roman" w:hAnsi="Times New Roman"/>
    </w:rPr>
  </w:style>
  <w:style w:type="paragraph" w:customStyle="1" w:styleId="29">
    <w:name w:val="000正文abing(新)"/>
    <w:basedOn w:val="1"/>
    <w:qFormat/>
    <w:uiPriority w:val="0"/>
    <w:pPr>
      <w:widowControl/>
      <w:spacing w:line="440" w:lineRule="exact"/>
      <w:ind w:firstLine="480" w:firstLineChars="200"/>
    </w:pPr>
    <w:rPr>
      <w:rFonts w:eastAsia="Times New Roman"/>
      <w:sz w:val="24"/>
    </w:rPr>
  </w:style>
  <w:style w:type="character" w:customStyle="1" w:styleId="30">
    <w:name w:val="正文文本 Char"/>
    <w:basedOn w:val="17"/>
    <w:link w:val="6"/>
    <w:semiHidden/>
    <w:qFormat/>
    <w:locked/>
    <w:uiPriority w:val="99"/>
    <w:rPr>
      <w:rFonts w:ascii="宋体" w:hAnsi="宋体" w:eastAsia="宋体" w:cs="宋体"/>
      <w:spacing w:val="48"/>
      <w:kern w:val="0"/>
      <w:sz w:val="24"/>
      <w:szCs w:val="24"/>
    </w:rPr>
  </w:style>
  <w:style w:type="character" w:customStyle="1" w:styleId="31">
    <w:name w:val="页眉 Char"/>
    <w:basedOn w:val="17"/>
    <w:link w:val="11"/>
    <w:semiHidden/>
    <w:qFormat/>
    <w:locked/>
    <w:uiPriority w:val="99"/>
    <w:rPr>
      <w:rFonts w:cs="Times New Roman"/>
      <w:kern w:val="2"/>
      <w:sz w:val="18"/>
      <w:szCs w:val="18"/>
    </w:rPr>
  </w:style>
  <w:style w:type="character" w:customStyle="1" w:styleId="32">
    <w:name w:val="页脚 Char"/>
    <w:basedOn w:val="17"/>
    <w:link w:val="10"/>
    <w:semiHidden/>
    <w:qFormat/>
    <w:locked/>
    <w:uiPriority w:val="99"/>
    <w:rPr>
      <w:rFonts w:cs="Times New Roman"/>
      <w:kern w:val="2"/>
      <w:sz w:val="18"/>
      <w:szCs w:val="18"/>
    </w:rPr>
  </w:style>
  <w:style w:type="character" w:customStyle="1" w:styleId="33">
    <w:name w:val="批注文字 Char"/>
    <w:basedOn w:val="17"/>
    <w:link w:val="5"/>
    <w:semiHidden/>
    <w:qFormat/>
    <w:locked/>
    <w:uiPriority w:val="99"/>
    <w:rPr>
      <w:rFonts w:cs="Times New Roman"/>
    </w:rPr>
  </w:style>
  <w:style w:type="character" w:customStyle="1" w:styleId="34">
    <w:name w:val="批注主题 Char"/>
    <w:basedOn w:val="33"/>
    <w:link w:val="13"/>
    <w:semiHidden/>
    <w:qFormat/>
    <w:locked/>
    <w:uiPriority w:val="99"/>
    <w:rPr>
      <w:b/>
      <w:bCs/>
    </w:rPr>
  </w:style>
  <w:style w:type="character" w:customStyle="1" w:styleId="35">
    <w:name w:val="批注框文本 Char"/>
    <w:basedOn w:val="17"/>
    <w:link w:val="9"/>
    <w:semiHidden/>
    <w:qFormat/>
    <w:locked/>
    <w:uiPriority w:val="99"/>
    <w:rPr>
      <w:rFonts w:cs="Times New Roman"/>
      <w:sz w:val="2"/>
    </w:rPr>
  </w:style>
  <w:style w:type="character" w:customStyle="1" w:styleId="36">
    <w:name w:val="正文文本缩进 2 Char"/>
    <w:basedOn w:val="17"/>
    <w:link w:val="2"/>
    <w:semiHidden/>
    <w:qFormat/>
    <w:locked/>
    <w:uiPriority w:val="99"/>
    <w:rPr>
      <w:rFonts w:cs="Times New Roman"/>
    </w:rPr>
  </w:style>
  <w:style w:type="character" w:customStyle="1" w:styleId="37">
    <w:name w:val="日期 Char"/>
    <w:basedOn w:val="17"/>
    <w:link w:val="8"/>
    <w:semiHidden/>
    <w:qFormat/>
    <w:locked/>
    <w:uiPriority w:val="99"/>
    <w:rPr>
      <w:rFonts w:cs="Times New Roman"/>
    </w:rPr>
  </w:style>
  <w:style w:type="character" w:customStyle="1" w:styleId="38">
    <w:name w:val="标题 1 Char"/>
    <w:basedOn w:val="17"/>
    <w:link w:val="3"/>
    <w:qFormat/>
    <w:uiPriority w:val="9"/>
    <w:rPr>
      <w:rFonts w:ascii="宋体" w:hAnsi="宋体" w:cs="宋体"/>
      <w:b/>
      <w:bCs/>
      <w:kern w:val="36"/>
      <w:sz w:val="48"/>
      <w:szCs w:val="4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1719</Words>
  <Characters>1798</Characters>
  <Lines>15</Lines>
  <Paragraphs>4</Paragraphs>
  <TotalTime>8</TotalTime>
  <ScaleCrop>false</ScaleCrop>
  <LinksUpToDate>false</LinksUpToDate>
  <CharactersWithSpaces>2104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2019-06-05T16:11:00Z</dcterms:created>
  <dc:creator>meiyongjin</dc:creator>
  <cp:lastModifiedBy>泥巴</cp:lastModifiedBy>
  <cp:lastPrinted>2026-08-10T03:47:00Z</cp:lastPrinted>
  <dcterms:modified xsi:type="dcterms:W3CDTF">2026-08-11T07:15:49Z</dcterms:modified>
  <dc:title>沙环函〔2014〕18号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241D04FCA1F44FD98E8C60CA6F83ED87</vt:lpwstr>
  </property>
  <property fmtid="{D5CDD505-2E9C-101B-9397-08002B2CF9AE}" pid="4" name="KSOTemplateDocerSaveRecord">
    <vt:lpwstr>eyJoZGlkIjoiMGRlYWVhOTU4NDBmMzViYjZiNTNiZjA5YzA4YTdjOTgiLCJ1c2VySWQiOiI5MzA4NzIxNzQifQ==</vt:lpwstr>
  </property>
</Properties>
</file>