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54C86">
      <w:pPr>
        <w:rPr>
          <w:rFonts w:eastAsia="仿宋_GB2312"/>
          <w:sz w:val="32"/>
        </w:rPr>
      </w:pPr>
      <w:r>
        <w:rPr>
          <w:rFonts w:hint="eastAsia" w:eastAsia="仿宋_GB2312"/>
          <w:sz w:val="32"/>
          <w:lang w:val="en-US" w:eastAsia="zh-CN"/>
        </w:rPr>
        <w:t xml:space="preserve">       </w:t>
      </w:r>
    </w:p>
    <w:p w14:paraId="1CF72034">
      <w:pPr>
        <w:pStyle w:val="14"/>
        <w:ind w:firstLine="336"/>
      </w:pPr>
    </w:p>
    <w:p w14:paraId="00B36CCB">
      <w:pPr>
        <w:jc w:val="right"/>
        <w:rPr>
          <w:rFonts w:hint="eastAsia" w:ascii="Times New Roman" w:hAnsi="Times New Roman" w:eastAsia="仿宋_GB2312"/>
          <w:sz w:val="32"/>
        </w:rPr>
      </w:pPr>
    </w:p>
    <w:p w14:paraId="7FAD6E4F">
      <w:pPr>
        <w:pStyle w:val="2"/>
        <w:ind w:left="0" w:leftChars="0" w:firstLine="0" w:firstLineChars="0"/>
      </w:pPr>
    </w:p>
    <w:p w14:paraId="21362C36">
      <w:pPr>
        <w:keepNext w:val="0"/>
        <w:keepLines w:val="0"/>
        <w:pageBreakBefore w:val="0"/>
        <w:widowControl/>
        <w:kinsoku/>
        <w:wordWrap/>
        <w:overflowPunct/>
        <w:topLinePunct w:val="0"/>
        <w:autoSpaceDE/>
        <w:autoSpaceDN/>
        <w:bidi w:val="0"/>
        <w:adjustRightInd/>
        <w:snapToGrid/>
        <w:spacing w:line="540" w:lineRule="exact"/>
        <w:ind w:firstLine="630"/>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明环评沙函〔202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lang w:eastAsia="zh-CN"/>
        </w:rPr>
        <w:t>号</w:t>
      </w:r>
    </w:p>
    <w:p w14:paraId="62BBC6B3">
      <w:pPr>
        <w:spacing w:line="500" w:lineRule="exact"/>
        <w:rPr>
          <w:rFonts w:ascii="Times New Roman" w:hAnsi="Times New Roman" w:eastAsia="仿宋_GB2312"/>
          <w:kern w:val="0"/>
          <w:sz w:val="32"/>
          <w:szCs w:val="32"/>
        </w:rPr>
      </w:pPr>
    </w:p>
    <w:p w14:paraId="3952567B">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ascii="Times New Roman" w:hAnsi="Times New Roman" w:eastAsia="方正小标宋简体"/>
          <w:kern w:val="0"/>
          <w:sz w:val="44"/>
          <w:szCs w:val="44"/>
        </w:rPr>
        <w:t>三明市生态环境局关于</w:t>
      </w:r>
      <w:r>
        <w:rPr>
          <w:rFonts w:hint="eastAsia" w:ascii="Times New Roman" w:hAnsi="Times New Roman" w:eastAsia="方正小标宋简体"/>
          <w:kern w:val="0"/>
          <w:sz w:val="44"/>
          <w:szCs w:val="44"/>
        </w:rPr>
        <w:t>三明市</w:t>
      </w:r>
    </w:p>
    <w:p w14:paraId="6444683E">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hint="eastAsia" w:ascii="Times New Roman" w:hAnsi="Times New Roman" w:eastAsia="方正小标宋简体"/>
          <w:kern w:val="0"/>
          <w:sz w:val="44"/>
          <w:szCs w:val="44"/>
        </w:rPr>
        <w:t>沙县区豆之源食品有限公司豆制品生产加工</w:t>
      </w:r>
    </w:p>
    <w:p w14:paraId="5BAC7233">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hint="eastAsia" w:ascii="Times New Roman" w:hAnsi="Times New Roman" w:eastAsia="方正小标宋简体"/>
          <w:kern w:val="0"/>
          <w:sz w:val="44"/>
          <w:szCs w:val="44"/>
        </w:rPr>
        <w:t>技术改造项目</w:t>
      </w:r>
      <w:r>
        <w:rPr>
          <w:rFonts w:hint="eastAsia" w:ascii="Times New Roman" w:hAnsi="Times New Roman" w:eastAsia="方正小标宋简体"/>
          <w:kern w:val="0"/>
          <w:sz w:val="44"/>
          <w:szCs w:val="44"/>
          <w:lang w:eastAsia="zh-CN"/>
        </w:rPr>
        <w:t>生态</w:t>
      </w:r>
      <w:r>
        <w:rPr>
          <w:rFonts w:ascii="Times New Roman" w:hAnsi="Times New Roman" w:eastAsia="方正小标宋简体"/>
          <w:kern w:val="0"/>
          <w:sz w:val="44"/>
          <w:szCs w:val="44"/>
        </w:rPr>
        <w:t>环境影响</w:t>
      </w:r>
      <w:r>
        <w:rPr>
          <w:rFonts w:hint="eastAsia" w:ascii="Times New Roman" w:hAnsi="Times New Roman" w:eastAsia="方正小标宋简体"/>
          <w:kern w:val="0"/>
          <w:sz w:val="44"/>
          <w:szCs w:val="44"/>
        </w:rPr>
        <w:t>报告表</w:t>
      </w:r>
      <w:r>
        <w:rPr>
          <w:rFonts w:ascii="Times New Roman" w:hAnsi="Times New Roman" w:eastAsia="方正小标宋简体"/>
          <w:kern w:val="0"/>
          <w:sz w:val="44"/>
          <w:szCs w:val="44"/>
        </w:rPr>
        <w:t>的批复</w:t>
      </w:r>
    </w:p>
    <w:p w14:paraId="6B84BC4B">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kern w:val="0"/>
          <w:sz w:val="32"/>
          <w:szCs w:val="32"/>
          <w:lang w:eastAsia="zh-CN"/>
        </w:rPr>
      </w:pPr>
    </w:p>
    <w:p w14:paraId="6A0E39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三明市沙县区豆之源食品有限公司：</w:t>
      </w:r>
    </w:p>
    <w:p w14:paraId="1F18AF30">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报送的《三明市沙县区豆之源食品有限公司豆制品生产加工技术改造项目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环境影响报告表》（以下简称“报告表”）和申请审批的函收悉。我局于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w:t>
      </w:r>
      <w:r>
        <w:rPr>
          <w:rFonts w:hint="eastAsia" w:ascii="仿宋_GB2312" w:hAnsi="仿宋_GB2312" w:eastAsia="仿宋_GB2312" w:cs="仿宋_GB2312"/>
          <w:kern w:val="0"/>
          <w:sz w:val="32"/>
          <w:szCs w:val="32"/>
        </w:rPr>
        <w:t>受理该报告表的审批申请，在沙县区人民政府门户网站对受理情况进行公开，并将报告表全本公示；于202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rPr>
        <w:t>日在沙县区人民政府门户网站对报告表拟作出的审批意见进行公开；上述公示、公开期间，我局未收到关于本报告表的意见。在审查过程中，因该报告表部分内容需进一步补充、完善，</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日申请暂停审批流程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重新提交修改完善的报告表，我局重启办件。经研究，对该项目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环境影响报告表批复如下</w:t>
      </w:r>
      <w:r>
        <w:rPr>
          <w:rFonts w:hint="eastAsia" w:ascii="方正仿宋简体" w:hAnsi="方正仿宋简体" w:eastAsia="方正仿宋简体" w:cs="方正仿宋简体"/>
          <w:kern w:val="0"/>
          <w:sz w:val="32"/>
          <w:szCs w:val="32"/>
        </w:rPr>
        <w:t>：</w:t>
      </w:r>
    </w:p>
    <w:p w14:paraId="59155AC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拟建项目选址于福建省三明市沙县区虬</w:t>
      </w:r>
      <w:r>
        <w:rPr>
          <w:rFonts w:hint="eastAsia" w:ascii="仿宋_GB2312" w:hAnsi="仿宋_GB2312" w:eastAsia="仿宋_GB2312" w:cs="仿宋_GB2312"/>
          <w:kern w:val="0"/>
          <w:sz w:val="32"/>
          <w:szCs w:val="32"/>
          <w:lang w:eastAsia="zh-CN"/>
        </w:rPr>
        <w:t>江</w:t>
      </w:r>
      <w:r>
        <w:rPr>
          <w:rFonts w:hint="eastAsia" w:ascii="仿宋_GB2312" w:hAnsi="仿宋_GB2312" w:eastAsia="仿宋_GB2312" w:cs="仿宋_GB2312"/>
          <w:kern w:val="0"/>
          <w:sz w:val="32"/>
          <w:szCs w:val="32"/>
        </w:rPr>
        <w:t>后底村后底100号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沙县金古空港经济开发区东区</w:t>
      </w:r>
      <w:r>
        <w:rPr>
          <w:rFonts w:hint="eastAsia" w:ascii="仿宋_GB2312" w:hAnsi="仿宋_GB2312" w:eastAsia="仿宋_GB2312" w:cs="仿宋_GB2312"/>
          <w:kern w:val="0"/>
          <w:sz w:val="32"/>
          <w:szCs w:val="32"/>
          <w:lang w:eastAsia="zh-CN"/>
        </w:rPr>
        <w:t>），拟新增泡豆系统2套，压榨成型机1台，产品产能由年产豆制品1000吨提升至1700吨。</w:t>
      </w:r>
    </w:p>
    <w:p w14:paraId="55859B1F">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根据报告表评价结论</w:t>
      </w:r>
      <w:r>
        <w:rPr>
          <w:rFonts w:hint="eastAsia" w:ascii="仿宋_GB2312" w:hAnsi="仿宋_GB2312" w:eastAsia="仿宋_GB2312" w:cs="仿宋_GB2312"/>
          <w:kern w:val="0"/>
          <w:sz w:val="32"/>
          <w:szCs w:val="32"/>
          <w:lang w:eastAsia="zh-CN"/>
        </w:rPr>
        <w:t>及专家技术评估意见</w:t>
      </w:r>
      <w:r>
        <w:rPr>
          <w:rFonts w:hint="eastAsia" w:ascii="仿宋_GB2312" w:hAnsi="仿宋_GB2312" w:eastAsia="仿宋_GB2312" w:cs="仿宋_GB2312"/>
          <w:kern w:val="0"/>
          <w:sz w:val="32"/>
          <w:szCs w:val="32"/>
        </w:rPr>
        <w:t>，项目建设符合《三明市生态环境局关于发布三明市2023年生态环境分区管控动态更新成果的通知》</w:t>
      </w:r>
      <w:r>
        <w:rPr>
          <w:rFonts w:hint="eastAsia" w:ascii="仿宋_GB2312" w:hAnsi="仿宋_GB2312" w:eastAsia="仿宋_GB2312" w:cs="仿宋_GB2312"/>
          <w:kern w:val="0"/>
          <w:sz w:val="32"/>
          <w:szCs w:val="32"/>
          <w:lang w:eastAsia="zh-CN"/>
        </w:rPr>
        <w:t>（明环规〔202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〕2号）</w:t>
      </w:r>
      <w:r>
        <w:rPr>
          <w:rFonts w:hint="eastAsia" w:ascii="仿宋_GB2312" w:hAnsi="仿宋_GB2312" w:eastAsia="仿宋_GB2312" w:cs="仿宋_GB2312"/>
          <w:kern w:val="0"/>
          <w:sz w:val="32"/>
          <w:szCs w:val="32"/>
        </w:rPr>
        <w:t>的要求，在全面落实报告表提出的各项污染防治措施后，项目建设对环境的不利影响能够得到缓解和控制。因此，我局从环境保护方面同意报告表中所列建设项目的性质、规模、地点、采用的生产工艺、生态环境保护和环境风险防范对策措施。</w:t>
      </w:r>
    </w:p>
    <w:p w14:paraId="4D61FA65">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二、在项目工程设计、建设和环境管理中，</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必须严格落实报告表提出的各项环保要求，并着重做好以下工作：</w:t>
      </w:r>
    </w:p>
    <w:p w14:paraId="4655CA94">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spacing w:val="0"/>
          <w:kern w:val="0"/>
          <w:sz w:val="32"/>
          <w:szCs w:val="32"/>
          <w:lang w:val="en-US" w:eastAsia="zh-CN" w:bidi="ar-SA"/>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加强水污染防治。</w:t>
      </w:r>
      <w:r>
        <w:rPr>
          <w:rFonts w:hint="eastAsia" w:ascii="仿宋_GB2312" w:hAnsi="仿宋_GB2312" w:eastAsia="仿宋_GB2312" w:cs="仿宋_GB2312"/>
          <w:kern w:val="0"/>
          <w:sz w:val="32"/>
          <w:szCs w:val="32"/>
          <w:lang w:eastAsia="zh-CN"/>
        </w:rPr>
        <w:t>该项目</w:t>
      </w:r>
      <w:r>
        <w:rPr>
          <w:rFonts w:hint="eastAsia" w:ascii="仿宋_GB2312" w:hAnsi="仿宋_GB2312" w:eastAsia="仿宋_GB2312" w:cs="仿宋_GB2312"/>
          <w:kern w:val="0"/>
          <w:sz w:val="32"/>
          <w:szCs w:val="32"/>
        </w:rPr>
        <w:t>黄豆清洗废水、黄豆浸泡废水、压榨废水、设备清洗废水、车间清洗废水及蒸汽发生器排污水</w:t>
      </w:r>
      <w:r>
        <w:rPr>
          <w:rFonts w:hint="eastAsia" w:ascii="仿宋_GB2312" w:hAnsi="仿宋_GB2312" w:eastAsia="仿宋_GB2312" w:cs="仿宋_GB2312"/>
          <w:kern w:val="0"/>
          <w:sz w:val="32"/>
          <w:szCs w:val="32"/>
          <w:lang w:eastAsia="zh-CN"/>
        </w:rPr>
        <w:t>经处理后排入园区公共污水管网。</w:t>
      </w:r>
      <w:r>
        <w:rPr>
          <w:rFonts w:hint="eastAsia" w:ascii="仿宋_GB2312" w:hAnsi="仿宋_GB2312" w:eastAsia="仿宋_GB2312" w:cs="仿宋_GB2312"/>
          <w:spacing w:val="0"/>
          <w:kern w:val="0"/>
          <w:sz w:val="32"/>
          <w:szCs w:val="32"/>
          <w:lang w:val="en-US" w:eastAsia="zh-CN" w:bidi="ar-SA"/>
        </w:rPr>
        <w:t>该项目不得建设直接向外环境水体排放污染物的排污口。</w:t>
      </w:r>
    </w:p>
    <w:p w14:paraId="1FA288E2">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加强大气污染防治。项目环境防护距离为50米，该区域现状无常住居民等敏感目标。天然气蒸汽发生器烟气经1根22米排气筒排放；油炸机燃烧废气经收集后通过1根22米排气筒排放；油炸油烟经收集处理后通过1</w:t>
      </w:r>
      <w:bookmarkStart w:id="0" w:name="_GoBack"/>
      <w:bookmarkEnd w:id="0"/>
      <w:r>
        <w:rPr>
          <w:rFonts w:hint="eastAsia" w:ascii="仿宋_GB2312" w:hAnsi="仿宋_GB2312" w:eastAsia="仿宋_GB2312" w:cs="仿宋_GB2312"/>
          <w:kern w:val="0"/>
          <w:sz w:val="32"/>
          <w:szCs w:val="32"/>
          <w:lang w:val="en-US" w:eastAsia="zh-CN"/>
        </w:rPr>
        <w:t>根19米排气筒排放。</w:t>
      </w:r>
    </w:p>
    <w:p w14:paraId="64CC3B97">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（三）加强噪声污染防治。</w:t>
      </w:r>
      <w:r>
        <w:rPr>
          <w:rFonts w:hint="eastAsia" w:ascii="仿宋_GB2312" w:hAnsi="仿宋_GB2312" w:eastAsia="仿宋_GB2312" w:cs="仿宋_GB2312"/>
          <w:kern w:val="0"/>
          <w:sz w:val="32"/>
          <w:szCs w:val="32"/>
        </w:rPr>
        <w:t>优先选用低噪声设备，优化</w:t>
      </w:r>
      <w:r>
        <w:rPr>
          <w:rFonts w:hint="eastAsia" w:ascii="仿宋_GB2312" w:hAnsi="仿宋_GB2312" w:eastAsia="仿宋_GB2312" w:cs="仿宋_GB2312"/>
          <w:kern w:val="0"/>
          <w:sz w:val="32"/>
          <w:szCs w:val="32"/>
          <w:lang w:eastAsia="zh-CN"/>
        </w:rPr>
        <w:t>项目</w:t>
      </w:r>
      <w:r>
        <w:rPr>
          <w:rFonts w:hint="eastAsia" w:ascii="仿宋_GB2312" w:hAnsi="仿宋_GB2312" w:eastAsia="仿宋_GB2312" w:cs="仿宋_GB2312"/>
          <w:kern w:val="0"/>
          <w:sz w:val="32"/>
          <w:szCs w:val="32"/>
        </w:rPr>
        <w:t>平面布置，合理布置高噪声设备，对高噪声设备采取基础减振、隔声、消声等降噪措施，并加强机械设备的保养和维护，防止噪声扰民。</w:t>
      </w:r>
    </w:p>
    <w:p w14:paraId="63CF6F0E">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加强固体废物污染防治。按照有关规定，对固体废物实施分类处理、处置，做到“资源化、减量化、无害化”。豆渣、废包装物、不合格品、边角料、污水处理设施污泥、废油脂等一般固体废物应进行综合处置，最大限度地减少最终处置量，不能回收利用的须按国家有关规定妥善贮存处置，不得产生二次污染</w:t>
      </w:r>
      <w:r>
        <w:rPr>
          <w:rFonts w:hint="eastAsia" w:ascii="仿宋_GB2312" w:hAnsi="仿宋_GB2312" w:eastAsia="仿宋_GB2312" w:cs="仿宋_GB2312"/>
          <w:kern w:val="0"/>
          <w:sz w:val="32"/>
          <w:szCs w:val="32"/>
        </w:rPr>
        <w:t>。</w:t>
      </w:r>
    </w:p>
    <w:p w14:paraId="2A4441ED">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（五）加强污染源管理工作。</w:t>
      </w:r>
      <w:r>
        <w:rPr>
          <w:rFonts w:hint="eastAsia" w:ascii="仿宋_GB2312" w:hAnsi="仿宋_GB2312" w:eastAsia="仿宋_GB2312" w:cs="仿宋_GB2312"/>
          <w:kern w:val="0"/>
          <w:sz w:val="32"/>
          <w:szCs w:val="32"/>
        </w:rPr>
        <w:t>按照国家和地方有关规定设置规范的污染物排放口，并设立标志牌</w:t>
      </w:r>
      <w:r>
        <w:rPr>
          <w:rFonts w:hint="eastAsia" w:ascii="仿宋_GB2312" w:hAnsi="仿宋_GB2312" w:eastAsia="仿宋_GB2312" w:cs="仿宋_GB2312"/>
          <w:kern w:val="0"/>
          <w:sz w:val="32"/>
          <w:szCs w:val="32"/>
          <w:lang w:eastAsia="zh-CN"/>
        </w:rPr>
        <w:t>；排气筒应按规范要求预留永久性监测口，并</w:t>
      </w:r>
      <w:r>
        <w:rPr>
          <w:rFonts w:hint="eastAsia" w:ascii="仿宋_GB2312" w:hAnsi="仿宋_GB2312" w:eastAsia="仿宋_GB2312" w:cs="仿宋_GB2312"/>
          <w:kern w:val="0"/>
          <w:sz w:val="32"/>
          <w:szCs w:val="32"/>
        </w:rPr>
        <w:t>按自行监测</w:t>
      </w:r>
      <w:r>
        <w:rPr>
          <w:rFonts w:hint="eastAsia" w:ascii="仿宋_GB2312" w:hAnsi="仿宋_GB2312" w:eastAsia="仿宋_GB2312" w:cs="仿宋_GB2312"/>
          <w:kern w:val="0"/>
          <w:sz w:val="32"/>
          <w:szCs w:val="32"/>
          <w:lang w:eastAsia="zh-CN"/>
        </w:rPr>
        <w:t>要求</w:t>
      </w:r>
      <w:r>
        <w:rPr>
          <w:rFonts w:hint="eastAsia" w:ascii="仿宋_GB2312" w:hAnsi="仿宋_GB2312" w:eastAsia="仿宋_GB2312" w:cs="仿宋_GB2312"/>
          <w:kern w:val="0"/>
          <w:sz w:val="32"/>
          <w:szCs w:val="32"/>
        </w:rPr>
        <w:t>开展生产运行阶段污染源及对周边环境质量影响监测。</w:t>
      </w:r>
    </w:p>
    <w:p w14:paraId="2DC070C3">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三、项目建成后全厂污染物排放总量为：</w:t>
      </w:r>
      <w:r>
        <w:rPr>
          <w:rFonts w:hint="eastAsia" w:ascii="仿宋_GB2312" w:hAnsi="仿宋_GB2312" w:eastAsia="仿宋_GB2312" w:cs="仿宋_GB2312"/>
          <w:kern w:val="0"/>
          <w:sz w:val="32"/>
          <w:szCs w:val="32"/>
          <w:lang w:eastAsia="zh-CN"/>
        </w:rPr>
        <w:t>化学需氧量1.429吨</w:t>
      </w:r>
      <w:r>
        <w:rPr>
          <w:rFonts w:hint="eastAsia" w:ascii="仿宋_GB2312" w:hAnsi="仿宋_GB2312" w:eastAsia="仿宋_GB2312" w:cs="仿宋_GB2312"/>
          <w:kern w:val="0"/>
          <w:sz w:val="32"/>
          <w:szCs w:val="32"/>
          <w:lang w:val="en-US" w:eastAsia="zh-CN"/>
        </w:rPr>
        <w:t>/年、氨氮0.143</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lang w:eastAsia="zh-CN"/>
        </w:rPr>
        <w:t>二氧化硫0.0626吨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rPr>
        <w:t>、氮氧化物0.4999</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rPr>
        <w:t>。根据《三明市生态环境局关于印发授权各县（市）生态环境局开展行政许可具体工作方案(试行)的通知》</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明环〔2019〕33号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化学需氧量、</w:t>
      </w:r>
      <w:r>
        <w:rPr>
          <w:rFonts w:hint="eastAsia" w:ascii="仿宋_GB2312" w:hAnsi="仿宋_GB2312" w:eastAsia="仿宋_GB2312" w:cs="仿宋_GB2312"/>
          <w:kern w:val="0"/>
          <w:sz w:val="32"/>
          <w:szCs w:val="32"/>
          <w:lang w:val="en-US" w:eastAsia="zh-CN"/>
        </w:rPr>
        <w:t>氨氮、</w:t>
      </w:r>
      <w:r>
        <w:rPr>
          <w:rFonts w:hint="eastAsia" w:ascii="仿宋_GB2312" w:hAnsi="仿宋_GB2312" w:eastAsia="仿宋_GB2312" w:cs="仿宋_GB2312"/>
          <w:kern w:val="0"/>
          <w:sz w:val="32"/>
          <w:szCs w:val="32"/>
        </w:rPr>
        <w:t>二氧化硫、氮氧化物可豁免购买排污权及来源确认</w:t>
      </w:r>
      <w:r>
        <w:rPr>
          <w:rFonts w:hint="eastAsia" w:ascii="仿宋_GB2312" w:hAnsi="仿宋_GB2312" w:eastAsia="仿宋_GB2312" w:cs="仿宋_GB2312"/>
          <w:kern w:val="0"/>
          <w:sz w:val="32"/>
          <w:szCs w:val="32"/>
          <w:lang w:eastAsia="zh-CN"/>
        </w:rPr>
        <w:t>。</w:t>
      </w:r>
    </w:p>
    <w:p w14:paraId="26734897">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你公司应提请并配合三明高新技术产业开发区管理委员会做好项目周边用地管控，在项目环境防护距离内不得有居住区、学校、医院、行政办公和科研等环境敏感目标。</w:t>
      </w:r>
    </w:p>
    <w:p w14:paraId="45B9EECC">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项目建设应严格执行环境保护设施与主体工程同时设计、同时施工、同时投产使用的环境保护“三同时”制度，并做好与排污许可证申领的衔接。</w:t>
      </w:r>
      <w:r>
        <w:rPr>
          <w:rFonts w:hint="eastAsia" w:ascii="仿宋_GB2312" w:hAnsi="仿宋_GB2312" w:eastAsia="仿宋_GB2312" w:cs="仿宋_GB2312"/>
          <w:kern w:val="0"/>
          <w:sz w:val="32"/>
          <w:szCs w:val="32"/>
          <w:lang w:eastAsia="zh-CN"/>
        </w:rPr>
        <w:t>建设项目在投入生产或者使用前，应当按照国家规定，对配套建设的污染防治设施进行验收。</w:t>
      </w:r>
    </w:p>
    <w:p w14:paraId="1C6B33B2">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Times New Roman" w:hAnsi="Times New Roman" w:eastAsia="方正仿宋简体"/>
          <w:sz w:val="32"/>
          <w:szCs w:val="32"/>
        </w:rPr>
      </w:pP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、在项目施工和运营过程中，应建立畅通的公众参与平台，满足公众合理的环境保护要求；按照国家法律、法规要求，做好</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环境信息公开</w:t>
      </w:r>
      <w:r>
        <w:rPr>
          <w:rFonts w:hint="eastAsia" w:ascii="仿宋_GB2312" w:hAnsi="仿宋_GB2312" w:eastAsia="仿宋_GB2312" w:cs="仿宋_GB2312"/>
          <w:kern w:val="0"/>
          <w:sz w:val="32"/>
          <w:szCs w:val="32"/>
          <w:lang w:eastAsia="zh-CN"/>
        </w:rPr>
        <w:t>工作</w:t>
      </w:r>
      <w:r>
        <w:rPr>
          <w:rFonts w:hint="eastAsia" w:ascii="仿宋_GB2312" w:hAnsi="仿宋_GB2312" w:eastAsia="仿宋_GB2312" w:cs="仿宋_GB2312"/>
          <w:kern w:val="0"/>
          <w:sz w:val="32"/>
          <w:szCs w:val="32"/>
        </w:rPr>
        <w:t>。</w:t>
      </w:r>
    </w:p>
    <w:p w14:paraId="1DCC15BB">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、建设项目的环境影响评价文件经批准后，建设项目的性质、规模、地点、采用的生产工艺或者防治污染、防止生态破坏的措施发生重大变动的，建设单位应当重新报批建设项目的环境影响评价文件。</w:t>
      </w:r>
    </w:p>
    <w:p w14:paraId="377810A8">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八、</w:t>
      </w:r>
      <w:r>
        <w:rPr>
          <w:rFonts w:hint="eastAsia" w:ascii="仿宋_GB2312" w:hAnsi="仿宋_GB2312" w:eastAsia="仿宋_GB2312" w:cs="仿宋_GB2312"/>
          <w:kern w:val="0"/>
          <w:sz w:val="32"/>
          <w:szCs w:val="32"/>
        </w:rPr>
        <w:t>我局委托三明市沙县生态环境保护综合执法大队组织开展“三同时”监督检查和日常监督管理工作。</w:t>
      </w:r>
    </w:p>
    <w:p w14:paraId="7F393642">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115E1760">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07E9B546">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方正仿宋简体" w:hAnsi="方正仿宋简体" w:eastAsia="方正仿宋简体" w:cs="方正仿宋简体"/>
          <w:kern w:val="0"/>
          <w:sz w:val="32"/>
          <w:szCs w:val="32"/>
          <w:lang w:val="en-US" w:eastAsia="zh-CN"/>
        </w:rPr>
        <w:t xml:space="preserve">                            </w:t>
      </w:r>
      <w:r>
        <w:rPr>
          <w:rFonts w:hint="eastAsia" w:ascii="仿宋_GB2312" w:hAnsi="仿宋_GB2312" w:eastAsia="仿宋_GB2312" w:cs="仿宋_GB2312"/>
          <w:kern w:val="0"/>
          <w:sz w:val="32"/>
          <w:szCs w:val="32"/>
        </w:rPr>
        <w:t>三明市生态环境局</w:t>
      </w:r>
    </w:p>
    <w:p w14:paraId="2B46CE18">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22</w:t>
      </w:r>
      <w:r>
        <w:rPr>
          <w:rFonts w:hint="eastAsia" w:ascii="仿宋_GB2312" w:hAnsi="仿宋_GB2312" w:eastAsia="仿宋_GB2312" w:cs="仿宋_GB2312"/>
          <w:kern w:val="0"/>
          <w:sz w:val="32"/>
          <w:szCs w:val="32"/>
        </w:rPr>
        <w:t>日</w:t>
      </w:r>
    </w:p>
    <w:p w14:paraId="27E8226A">
      <w:pPr>
        <w:pStyle w:val="8"/>
        <w:ind w:left="0" w:leftChars="0" w:firstLine="0" w:firstLineChars="0"/>
      </w:pPr>
    </w:p>
    <w:p w14:paraId="21F0D85B"/>
    <w:p w14:paraId="38EA33B2">
      <w:pPr>
        <w:spacing w:line="570" w:lineRule="exact"/>
        <w:rPr>
          <w:rFonts w:ascii="Times New Roman" w:hAnsi="Times New Roman" w:eastAsia="方正仿宋简体"/>
          <w:kern w:val="0"/>
          <w:sz w:val="32"/>
          <w:szCs w:val="32"/>
        </w:rPr>
      </w:pPr>
    </w:p>
    <w:p w14:paraId="7BACFC91">
      <w:pPr>
        <w:spacing w:line="570" w:lineRule="exact"/>
        <w:rPr>
          <w:rFonts w:ascii="Times New Roman" w:hAnsi="Times New Roman" w:eastAsia="方正仿宋简体"/>
          <w:kern w:val="0"/>
          <w:sz w:val="32"/>
          <w:szCs w:val="32"/>
        </w:rPr>
      </w:pPr>
    </w:p>
    <w:p w14:paraId="5CCE79B5">
      <w:pPr>
        <w:spacing w:line="570" w:lineRule="exact"/>
        <w:rPr>
          <w:rFonts w:ascii="Times New Roman" w:hAnsi="Times New Roman" w:eastAsia="方正仿宋简体"/>
          <w:kern w:val="0"/>
          <w:sz w:val="32"/>
          <w:szCs w:val="32"/>
        </w:rPr>
      </w:pPr>
    </w:p>
    <w:p w14:paraId="14FEAEC1">
      <w:pPr>
        <w:spacing w:line="570" w:lineRule="exact"/>
        <w:rPr>
          <w:rFonts w:ascii="Times New Roman" w:hAnsi="Times New Roman" w:eastAsia="方正仿宋简体"/>
          <w:kern w:val="0"/>
          <w:sz w:val="32"/>
          <w:szCs w:val="32"/>
        </w:rPr>
      </w:pPr>
    </w:p>
    <w:p w14:paraId="157136C9">
      <w:pPr>
        <w:pStyle w:val="2"/>
        <w:rPr>
          <w:rFonts w:ascii="Times New Roman" w:hAnsi="Times New Roman" w:eastAsia="方正仿宋简体"/>
          <w:kern w:val="0"/>
          <w:sz w:val="32"/>
          <w:szCs w:val="32"/>
        </w:rPr>
      </w:pPr>
    </w:p>
    <w:p w14:paraId="7E5084C5"/>
    <w:p w14:paraId="231EF727">
      <w:pPr>
        <w:spacing w:line="570" w:lineRule="exact"/>
        <w:rPr>
          <w:rFonts w:ascii="Times New Roman" w:hAnsi="Times New Roman" w:eastAsia="方正仿宋简体"/>
          <w:kern w:val="0"/>
          <w:sz w:val="32"/>
          <w:szCs w:val="32"/>
        </w:rPr>
      </w:pPr>
    </w:p>
    <w:p w14:paraId="392FCCDF">
      <w:pPr>
        <w:spacing w:line="570" w:lineRule="exact"/>
        <w:rPr>
          <w:rFonts w:ascii="Times New Roman" w:hAnsi="Times New Roman" w:eastAsia="方正仿宋简体"/>
          <w:kern w:val="0"/>
          <w:sz w:val="32"/>
          <w:szCs w:val="32"/>
        </w:rPr>
      </w:pPr>
    </w:p>
    <w:p w14:paraId="04AF3BF4">
      <w:pPr>
        <w:spacing w:line="570" w:lineRule="exact"/>
      </w:pPr>
      <w:r>
        <w:rPr>
          <w:rFonts w:ascii="Times New Roman" w:hAnsi="Times New Roman" w:eastAsia="方正仿宋简体"/>
          <w:kern w:val="0"/>
          <w:sz w:val="32"/>
          <w:szCs w:val="32"/>
        </w:rPr>
        <w:t>（此件主动公开）</w:t>
      </w:r>
    </w:p>
    <w:p w14:paraId="03B1E5FA">
      <w:pPr>
        <w:widowControl/>
        <w:spacing w:line="260" w:lineRule="exact"/>
        <w:ind w:firstLine="3255" w:firstLineChars="1550"/>
        <w:rPr>
          <w:rFonts w:ascii="Times New Roman" w:hAnsi="Times New Roman" w:eastAsia="方正仿宋_GBK"/>
          <w:kern w:val="0"/>
          <w:sz w:val="32"/>
          <w:szCs w:val="32"/>
        </w:rPr>
      </w:pPr>
      <w:r>
        <w:rPr>
          <w:rFonts w:ascii="Times New Roman" w:hAnsi="Times New Roman"/>
        </w:rPr>
        <w:pict>
          <v:line id="_x0000_s1026" o:spid="_x0000_s1026" o:spt="20" style="position:absolute;left:0pt;margin-left:0pt;margin-top:12pt;height:0.05pt;width:441pt;z-index:251659264;mso-width-relative:page;mso-height-relative:page;" coordsize="21600,21600" o:gfxdata="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sYaaNMAAAAGAQAADwAAAAAAAAABACAAAAAiAAAAZHJzL2Rv&#10;d25yZXYueG1sUEsBAhQAFAAAAAgAh07iQHQkApXNAQAAjwMAAA4AAAAAAAAAAQAgAAAAIgEAAGRy&#10;cy9lMm9Eb2MueG1sUEsFBgAAAAAGAAYAWQEAAGEFAAAAAA==&#10;">
            <v:path arrowok="t"/>
            <v:fill focussize="0,0"/>
            <v:stroke/>
            <v:imagedata o:title=""/>
            <o:lock v:ext="edit"/>
          </v:line>
        </w:pict>
      </w:r>
    </w:p>
    <w:p w14:paraId="6B7946CE">
      <w:pPr>
        <w:widowControl/>
        <w:spacing w:line="360" w:lineRule="exact"/>
        <w:ind w:left="1181" w:leftChars="134" w:hanging="900" w:hangingChars="300"/>
        <w:rPr>
          <w:rFonts w:ascii="Times New Roman" w:hAnsi="Times New Roman" w:eastAsia="方正仿宋简体"/>
          <w:kern w:val="0"/>
          <w:sz w:val="30"/>
          <w:szCs w:val="30"/>
        </w:rPr>
      </w:pPr>
      <w:r>
        <w:rPr>
          <w:rFonts w:ascii="Times New Roman" w:hAnsi="Times New Roman" w:eastAsia="方正仿宋简体"/>
          <w:kern w:val="0"/>
          <w:sz w:val="30"/>
          <w:szCs w:val="30"/>
        </w:rPr>
        <w:t>抄送：三明高新技术产业开发区管理委员会</w:t>
      </w:r>
      <w:r>
        <w:rPr>
          <w:rFonts w:hint="eastAsia" w:ascii="Times New Roman" w:hAnsi="Times New Roman" w:eastAsia="方正仿宋简体"/>
          <w:kern w:val="0"/>
          <w:sz w:val="30"/>
          <w:szCs w:val="30"/>
          <w:lang w:eastAsia="zh-CN"/>
        </w:rPr>
        <w:t>，区工信局，福建新时代环保科技有限公司。</w:t>
      </w:r>
    </w:p>
    <w:p w14:paraId="58069687">
      <w:pPr>
        <w:widowControl/>
        <w:spacing w:line="700" w:lineRule="exact"/>
        <w:ind w:firstLine="300" w:firstLineChars="100"/>
        <w:rPr>
          <w:rFonts w:ascii="Times New Roman" w:hAnsi="Times New Roman" w:eastAsia="方正仿宋简体"/>
          <w:kern w:val="0"/>
          <w:sz w:val="30"/>
          <w:szCs w:val="30"/>
        </w:rPr>
      </w:pPr>
      <w:r>
        <w:rPr>
          <w:rFonts w:ascii="Times New Roman" w:hAnsi="Times New Roman" w:eastAsia="方正仿宋简体"/>
          <w:kern w:val="0"/>
          <w:sz w:val="30"/>
          <w:szCs w:val="30"/>
        </w:rPr>
        <w:pict>
          <v:line id="直线 3" o:spid="_x0000_s1028" o:spt="20" style="position:absolute;left:0pt;margin-left:0pt;margin-top:39.4pt;height:0.05pt;width:441pt;z-index:251659264;mso-width-relative:page;mso-height-relative:page;" coordsize="21600,21600" o:gfxdata="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MrwyvTAAAABgEAAA8AAAAAAAAAAQAgAAAAIgAAAGRycy9k&#10;b3ducmV2LnhtbFBLAQIUABQAAAAIAIdO4kBqiOtdzgEAAI8DAAAOAAAAAAAAAAEAIAAAACIBAABk&#10;cnMvZTJvRG9jLnhtbFBLBQYAAAAABgAGAFkBAABiBQAAAAA=&#10;">
            <v:path arrowok="t"/>
            <v:fill focussize="0,0"/>
            <v:stroke/>
            <v:imagedata o:title=""/>
            <o:lock v:ext="edit"/>
          </v:line>
        </w:pict>
      </w:r>
      <w:r>
        <w:rPr>
          <w:rFonts w:ascii="Times New Roman" w:hAnsi="Times New Roman" w:eastAsia="方正仿宋简体"/>
          <w:kern w:val="0"/>
          <w:sz w:val="30"/>
          <w:szCs w:val="30"/>
        </w:rPr>
        <w:pict>
          <v:line id="直线 4" o:spid="_x0000_s1027" o:spt="20" style="position:absolute;left:0pt;margin-left:0pt;margin-top:7.4pt;height:0.05pt;width:441pt;z-index:251659264;mso-width-relative:page;mso-height-relative:page;" coordsize="21600,21600" o:gfxdata="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ejtJ9IAAAAGAQAADwAAAAAAAAABACAAAAAiAAAAZHJzL2Rv&#10;d25yZXYueG1sUEsBAhQAFAAAAAgAh07iQDWjlmTOAQAAjwMAAA4AAAAAAAAAAQAgAAAAIQEAAGRy&#10;cy9lMm9Eb2MueG1sUEsFBgAAAAAGAAYAWQEAAGEFAAAAAA==&#10;">
            <v:path arrowok="t"/>
            <v:fill focussize="0,0"/>
            <v:stroke/>
            <v:imagedata o:title=""/>
            <o:lock v:ext="edit"/>
          </v:line>
        </w:pict>
      </w:r>
      <w:r>
        <w:rPr>
          <w:rFonts w:ascii="Times New Roman" w:hAnsi="Times New Roman" w:eastAsia="方正仿宋简体"/>
          <w:kern w:val="0"/>
          <w:sz w:val="30"/>
          <w:szCs w:val="30"/>
        </w:rPr>
        <w:t>三明市</w:t>
      </w:r>
      <w:r>
        <w:rPr>
          <w:rFonts w:hint="eastAsia" w:ascii="Times New Roman" w:hAnsi="Times New Roman" w:eastAsia="方正仿宋简体"/>
          <w:kern w:val="0"/>
          <w:sz w:val="30"/>
          <w:szCs w:val="30"/>
          <w:lang w:eastAsia="zh-CN"/>
        </w:rPr>
        <w:t>沙县</w:t>
      </w:r>
      <w:r>
        <w:rPr>
          <w:rFonts w:ascii="Times New Roman" w:hAnsi="Times New Roman" w:eastAsia="方正仿宋简体"/>
          <w:kern w:val="0"/>
          <w:sz w:val="30"/>
          <w:szCs w:val="30"/>
        </w:rPr>
        <w:t xml:space="preserve">生态环境局办公室   </w:t>
      </w:r>
      <w:r>
        <w:rPr>
          <w:rFonts w:hint="eastAsia" w:ascii="Times New Roman" w:hAnsi="Times New Roman" w:eastAsia="方正仿宋简体"/>
          <w:kern w:val="0"/>
          <w:sz w:val="30"/>
          <w:szCs w:val="30"/>
          <w:lang w:val="en-US" w:eastAsia="zh-CN"/>
        </w:rPr>
        <w:t xml:space="preserve">       </w:t>
      </w:r>
      <w:r>
        <w:rPr>
          <w:rFonts w:hint="eastAsia" w:ascii="Times New Roman" w:hAnsi="Times New Roman" w:eastAsia="方正仿宋简体"/>
          <w:kern w:val="0"/>
          <w:sz w:val="30"/>
          <w:szCs w:val="30"/>
        </w:rPr>
        <w:t>202</w:t>
      </w:r>
      <w:r>
        <w:rPr>
          <w:rFonts w:hint="eastAsia" w:ascii="Times New Roman" w:hAnsi="Times New Roman" w:eastAsia="方正仿宋简体"/>
          <w:kern w:val="0"/>
          <w:sz w:val="30"/>
          <w:szCs w:val="30"/>
          <w:lang w:val="en-US" w:eastAsia="zh-CN"/>
        </w:rPr>
        <w:t>6</w:t>
      </w:r>
      <w:r>
        <w:rPr>
          <w:rFonts w:hint="eastAsia" w:ascii="Times New Roman" w:hAnsi="Times New Roman" w:eastAsia="方正仿宋简体"/>
          <w:kern w:val="0"/>
          <w:sz w:val="30"/>
          <w:szCs w:val="30"/>
        </w:rPr>
        <w:t>年</w:t>
      </w:r>
      <w:r>
        <w:rPr>
          <w:rFonts w:hint="eastAsia" w:ascii="Times New Roman" w:hAnsi="Times New Roman" w:eastAsia="方正仿宋简体"/>
          <w:kern w:val="0"/>
          <w:sz w:val="30"/>
          <w:szCs w:val="30"/>
          <w:lang w:val="en-US" w:eastAsia="zh-CN"/>
        </w:rPr>
        <w:t>10</w:t>
      </w:r>
      <w:r>
        <w:rPr>
          <w:rFonts w:hint="eastAsia" w:ascii="Times New Roman" w:hAnsi="Times New Roman" w:eastAsia="方正仿宋简体"/>
          <w:kern w:val="0"/>
          <w:sz w:val="30"/>
          <w:szCs w:val="30"/>
        </w:rPr>
        <w:t>月</w:t>
      </w:r>
      <w:r>
        <w:rPr>
          <w:rFonts w:hint="eastAsia" w:ascii="Times New Roman" w:hAnsi="Times New Roman" w:eastAsia="方正仿宋简体"/>
          <w:kern w:val="0"/>
          <w:sz w:val="30"/>
          <w:szCs w:val="30"/>
          <w:lang w:val="en-US" w:eastAsia="zh-CN"/>
        </w:rPr>
        <w:t>22</w:t>
      </w:r>
      <w:r>
        <w:rPr>
          <w:rFonts w:hint="eastAsia" w:ascii="Times New Roman" w:hAnsi="Times New Roman" w:eastAsia="方正仿宋简体"/>
          <w:kern w:val="0"/>
          <w:sz w:val="30"/>
          <w:szCs w:val="30"/>
        </w:rPr>
        <w:t>日</w:t>
      </w:r>
      <w:r>
        <w:rPr>
          <w:rFonts w:ascii="Times New Roman" w:hAnsi="Times New Roman" w:eastAsia="方正仿宋简体"/>
          <w:kern w:val="0"/>
          <w:sz w:val="30"/>
          <w:szCs w:val="30"/>
        </w:rPr>
        <w:t>印发</w:t>
      </w:r>
    </w:p>
    <w:sectPr>
      <w:headerReference r:id="rId3" w:type="default"/>
      <w:footerReference r:id="rId4" w:type="default"/>
      <w:footerReference r:id="rId5" w:type="even"/>
      <w:pgSz w:w="11906" w:h="16838"/>
      <w:pgMar w:top="1531" w:right="1531" w:bottom="153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BACDB">
    <w:pPr>
      <w:pStyle w:val="10"/>
      <w:framePr w:wrap="around" w:vAnchor="text" w:hAnchor="margin" w:xAlign="outside" w:y="1"/>
      <w:rPr>
        <w:rStyle w:val="19"/>
        <w:rFonts w:ascii="方正仿宋简体" w:eastAsia="方正仿宋简体"/>
        <w:sz w:val="28"/>
        <w:szCs w:val="28"/>
      </w:rPr>
    </w:pPr>
    <w:r>
      <w:rPr>
        <w:rStyle w:val="19"/>
        <w:rFonts w:ascii="方正仿宋简体" w:eastAsia="方正仿宋简体"/>
        <w:sz w:val="28"/>
        <w:szCs w:val="28"/>
      </w:rPr>
      <w:fldChar w:fldCharType="begin"/>
    </w:r>
    <w:r>
      <w:rPr>
        <w:rStyle w:val="19"/>
        <w:rFonts w:ascii="方正仿宋简体" w:eastAsia="方正仿宋简体"/>
        <w:sz w:val="28"/>
        <w:szCs w:val="28"/>
      </w:rPr>
      <w:instrText xml:space="preserve">PAGE  </w:instrText>
    </w:r>
    <w:r>
      <w:rPr>
        <w:rStyle w:val="19"/>
        <w:rFonts w:ascii="方正仿宋简体" w:eastAsia="方正仿宋简体"/>
        <w:sz w:val="28"/>
        <w:szCs w:val="28"/>
      </w:rPr>
      <w:fldChar w:fldCharType="separate"/>
    </w:r>
    <w:r>
      <w:rPr>
        <w:rStyle w:val="19"/>
        <w:rFonts w:ascii="方正仿宋简体" w:eastAsia="方正仿宋简体"/>
        <w:sz w:val="28"/>
        <w:szCs w:val="28"/>
      </w:rPr>
      <w:t>- 1 -</w:t>
    </w:r>
    <w:r>
      <w:rPr>
        <w:rStyle w:val="19"/>
        <w:rFonts w:ascii="方正仿宋简体" w:eastAsia="方正仿宋简体"/>
        <w:sz w:val="28"/>
        <w:szCs w:val="28"/>
      </w:rPr>
      <w:fldChar w:fldCharType="end"/>
    </w:r>
  </w:p>
  <w:p w14:paraId="03BA88DA">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D945">
    <w:pPr>
      <w:pStyle w:val="10"/>
      <w:framePr w:wrap="around" w:vAnchor="text" w:hAnchor="margin" w:xAlign="outside" w:y="1"/>
      <w:rPr>
        <w:rStyle w:val="19"/>
      </w:rPr>
    </w:pPr>
    <w:r>
      <w:rPr>
        <w:rStyle w:val="19"/>
      </w:rPr>
      <w:fldChar w:fldCharType="begin"/>
    </w:r>
    <w:r>
      <w:rPr>
        <w:rStyle w:val="19"/>
      </w:rPr>
      <w:instrText xml:space="preserve">PAGE  </w:instrText>
    </w:r>
    <w:r>
      <w:rPr>
        <w:rStyle w:val="19"/>
      </w:rPr>
      <w:fldChar w:fldCharType="separate"/>
    </w:r>
    <w:r>
      <w:rPr>
        <w:rStyle w:val="19"/>
      </w:rPr>
      <w:t>- 2 -</w:t>
    </w:r>
    <w:r>
      <w:rPr>
        <w:rStyle w:val="19"/>
      </w:rPr>
      <w:fldChar w:fldCharType="end"/>
    </w:r>
  </w:p>
  <w:p w14:paraId="2ECBF90F">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FE14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79260A"/>
    <w:multiLevelType w:val="singleLevel"/>
    <w:tmpl w:val="6A79260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zMThmM2ZjZGRlYWNmZTlkZjBkNDhkM2UyNDVlMjkifQ=="/>
  </w:docVars>
  <w:rsids>
    <w:rsidRoot w:val="00B1451C"/>
    <w:rsid w:val="00141E94"/>
    <w:rsid w:val="001C0124"/>
    <w:rsid w:val="001E3666"/>
    <w:rsid w:val="00405AAE"/>
    <w:rsid w:val="00462D99"/>
    <w:rsid w:val="004D1365"/>
    <w:rsid w:val="005C35E4"/>
    <w:rsid w:val="005D54F0"/>
    <w:rsid w:val="006429FA"/>
    <w:rsid w:val="006462ED"/>
    <w:rsid w:val="00660C3A"/>
    <w:rsid w:val="00706573"/>
    <w:rsid w:val="00712C04"/>
    <w:rsid w:val="00720C81"/>
    <w:rsid w:val="00736E93"/>
    <w:rsid w:val="007A1902"/>
    <w:rsid w:val="007F5AA7"/>
    <w:rsid w:val="008E4AD4"/>
    <w:rsid w:val="009D01C5"/>
    <w:rsid w:val="009F1EE4"/>
    <w:rsid w:val="00A95B51"/>
    <w:rsid w:val="00B1451C"/>
    <w:rsid w:val="00B66EF8"/>
    <w:rsid w:val="00BD4BA4"/>
    <w:rsid w:val="00CA4891"/>
    <w:rsid w:val="00D52ABB"/>
    <w:rsid w:val="00EB6E81"/>
    <w:rsid w:val="00FD00AC"/>
    <w:rsid w:val="014B7296"/>
    <w:rsid w:val="022852EA"/>
    <w:rsid w:val="02986AC6"/>
    <w:rsid w:val="02FB1CD0"/>
    <w:rsid w:val="03602938"/>
    <w:rsid w:val="03880C56"/>
    <w:rsid w:val="04411BD7"/>
    <w:rsid w:val="04714377"/>
    <w:rsid w:val="0573340B"/>
    <w:rsid w:val="059C6826"/>
    <w:rsid w:val="060144DB"/>
    <w:rsid w:val="068A2044"/>
    <w:rsid w:val="07496CCE"/>
    <w:rsid w:val="078678A3"/>
    <w:rsid w:val="07CC09EB"/>
    <w:rsid w:val="08442B90"/>
    <w:rsid w:val="08652D8D"/>
    <w:rsid w:val="08A6542C"/>
    <w:rsid w:val="08BA6CD9"/>
    <w:rsid w:val="08C478EE"/>
    <w:rsid w:val="099F42D8"/>
    <w:rsid w:val="09DB04D1"/>
    <w:rsid w:val="09DB3168"/>
    <w:rsid w:val="0A203CA8"/>
    <w:rsid w:val="0ABF156C"/>
    <w:rsid w:val="0B8029C9"/>
    <w:rsid w:val="0BED605A"/>
    <w:rsid w:val="0D0851A3"/>
    <w:rsid w:val="0D4F44E1"/>
    <w:rsid w:val="0D956115"/>
    <w:rsid w:val="0DD674ED"/>
    <w:rsid w:val="0F6A6C9F"/>
    <w:rsid w:val="0FB3217F"/>
    <w:rsid w:val="0FE74C78"/>
    <w:rsid w:val="10BC1D00"/>
    <w:rsid w:val="1121440F"/>
    <w:rsid w:val="11594131"/>
    <w:rsid w:val="14A4387E"/>
    <w:rsid w:val="14FC83E9"/>
    <w:rsid w:val="155248DD"/>
    <w:rsid w:val="16847A90"/>
    <w:rsid w:val="1A3F7BB3"/>
    <w:rsid w:val="1A580641"/>
    <w:rsid w:val="1AEA0782"/>
    <w:rsid w:val="1B7C68AF"/>
    <w:rsid w:val="1B9F29B6"/>
    <w:rsid w:val="1BDA67F4"/>
    <w:rsid w:val="1C692389"/>
    <w:rsid w:val="1CE633A0"/>
    <w:rsid w:val="1CFD6A44"/>
    <w:rsid w:val="1E1F74BD"/>
    <w:rsid w:val="1F2604E0"/>
    <w:rsid w:val="1F4158BE"/>
    <w:rsid w:val="1F664CDF"/>
    <w:rsid w:val="1F8100F4"/>
    <w:rsid w:val="1FD506E5"/>
    <w:rsid w:val="1FDF5301"/>
    <w:rsid w:val="1FFAC835"/>
    <w:rsid w:val="202270D5"/>
    <w:rsid w:val="214B3109"/>
    <w:rsid w:val="21977AC2"/>
    <w:rsid w:val="21C11563"/>
    <w:rsid w:val="231A1DDD"/>
    <w:rsid w:val="232A6740"/>
    <w:rsid w:val="237A6EBD"/>
    <w:rsid w:val="23A32539"/>
    <w:rsid w:val="24925CBD"/>
    <w:rsid w:val="24CE556E"/>
    <w:rsid w:val="24DC7127"/>
    <w:rsid w:val="25354272"/>
    <w:rsid w:val="25754083"/>
    <w:rsid w:val="258F47CF"/>
    <w:rsid w:val="25DC74D4"/>
    <w:rsid w:val="25E77F32"/>
    <w:rsid w:val="26870DA8"/>
    <w:rsid w:val="276A1974"/>
    <w:rsid w:val="27CE3C25"/>
    <w:rsid w:val="29B26359"/>
    <w:rsid w:val="29DFF6BA"/>
    <w:rsid w:val="2A766A80"/>
    <w:rsid w:val="2AB920B5"/>
    <w:rsid w:val="2BC41A09"/>
    <w:rsid w:val="2C322253"/>
    <w:rsid w:val="2C7A6359"/>
    <w:rsid w:val="2D051137"/>
    <w:rsid w:val="2D370090"/>
    <w:rsid w:val="2DBD12E1"/>
    <w:rsid w:val="2F190724"/>
    <w:rsid w:val="2FBE7814"/>
    <w:rsid w:val="3060697A"/>
    <w:rsid w:val="31596E3F"/>
    <w:rsid w:val="31C73411"/>
    <w:rsid w:val="32A61601"/>
    <w:rsid w:val="33B9459B"/>
    <w:rsid w:val="340C5910"/>
    <w:rsid w:val="34F34F5A"/>
    <w:rsid w:val="35002EE0"/>
    <w:rsid w:val="353477D7"/>
    <w:rsid w:val="358B58CD"/>
    <w:rsid w:val="35B35ABC"/>
    <w:rsid w:val="35BA3DFA"/>
    <w:rsid w:val="35E0619A"/>
    <w:rsid w:val="360C18E2"/>
    <w:rsid w:val="3617391D"/>
    <w:rsid w:val="37BE1F7B"/>
    <w:rsid w:val="39425106"/>
    <w:rsid w:val="398A6189"/>
    <w:rsid w:val="3A2C0A30"/>
    <w:rsid w:val="3A720EF8"/>
    <w:rsid w:val="3B336BD2"/>
    <w:rsid w:val="3B425B6B"/>
    <w:rsid w:val="3B485E93"/>
    <w:rsid w:val="3C884495"/>
    <w:rsid w:val="3C9E4878"/>
    <w:rsid w:val="3CC52D38"/>
    <w:rsid w:val="3D576952"/>
    <w:rsid w:val="3EF33DA4"/>
    <w:rsid w:val="3F124C2C"/>
    <w:rsid w:val="3F6D6119"/>
    <w:rsid w:val="3FDF9A18"/>
    <w:rsid w:val="40851B16"/>
    <w:rsid w:val="40BE52B1"/>
    <w:rsid w:val="444C2E64"/>
    <w:rsid w:val="44704CCF"/>
    <w:rsid w:val="44F04ADD"/>
    <w:rsid w:val="45132AAF"/>
    <w:rsid w:val="45315BC1"/>
    <w:rsid w:val="455C4324"/>
    <w:rsid w:val="45C91073"/>
    <w:rsid w:val="47FA3FC4"/>
    <w:rsid w:val="4853745C"/>
    <w:rsid w:val="49AB5A2E"/>
    <w:rsid w:val="4B5E6D10"/>
    <w:rsid w:val="4BD66201"/>
    <w:rsid w:val="4CCF20E6"/>
    <w:rsid w:val="4D604467"/>
    <w:rsid w:val="4EDF361D"/>
    <w:rsid w:val="4FAE4DE6"/>
    <w:rsid w:val="50407728"/>
    <w:rsid w:val="50C70AEA"/>
    <w:rsid w:val="50F70BD7"/>
    <w:rsid w:val="51960EC3"/>
    <w:rsid w:val="51C71460"/>
    <w:rsid w:val="51D4551B"/>
    <w:rsid w:val="52E25D5D"/>
    <w:rsid w:val="52FF52F8"/>
    <w:rsid w:val="53A76EA9"/>
    <w:rsid w:val="54280B64"/>
    <w:rsid w:val="54DF1F2B"/>
    <w:rsid w:val="54FB75FB"/>
    <w:rsid w:val="55AB4D30"/>
    <w:rsid w:val="561B7CFF"/>
    <w:rsid w:val="569C67B0"/>
    <w:rsid w:val="56A90338"/>
    <w:rsid w:val="56BD71D7"/>
    <w:rsid w:val="571F3F93"/>
    <w:rsid w:val="5724243C"/>
    <w:rsid w:val="57264D71"/>
    <w:rsid w:val="575B008C"/>
    <w:rsid w:val="59910633"/>
    <w:rsid w:val="59CA6A67"/>
    <w:rsid w:val="59F766CF"/>
    <w:rsid w:val="5AB20E18"/>
    <w:rsid w:val="5BC13296"/>
    <w:rsid w:val="5DAF25BA"/>
    <w:rsid w:val="5DE06A28"/>
    <w:rsid w:val="5E0A37A4"/>
    <w:rsid w:val="5E1D3DA2"/>
    <w:rsid w:val="5E2379CE"/>
    <w:rsid w:val="5E314A39"/>
    <w:rsid w:val="5E8F76EA"/>
    <w:rsid w:val="5FAA42E4"/>
    <w:rsid w:val="5FE041D4"/>
    <w:rsid w:val="5FE309AC"/>
    <w:rsid w:val="604918C6"/>
    <w:rsid w:val="60A33482"/>
    <w:rsid w:val="6114089B"/>
    <w:rsid w:val="613B1492"/>
    <w:rsid w:val="61DB3EC6"/>
    <w:rsid w:val="623F62F1"/>
    <w:rsid w:val="640229B5"/>
    <w:rsid w:val="641C36D4"/>
    <w:rsid w:val="645A795A"/>
    <w:rsid w:val="662E5D88"/>
    <w:rsid w:val="6662787B"/>
    <w:rsid w:val="66AB0444"/>
    <w:rsid w:val="671B4A63"/>
    <w:rsid w:val="67D5568F"/>
    <w:rsid w:val="68724AB4"/>
    <w:rsid w:val="68BD6C87"/>
    <w:rsid w:val="68DF30B7"/>
    <w:rsid w:val="68E325CC"/>
    <w:rsid w:val="69421289"/>
    <w:rsid w:val="69591B8C"/>
    <w:rsid w:val="69CA5C6E"/>
    <w:rsid w:val="6AC9386F"/>
    <w:rsid w:val="6AF05195"/>
    <w:rsid w:val="6B9841AA"/>
    <w:rsid w:val="6C1E1836"/>
    <w:rsid w:val="6C2157F2"/>
    <w:rsid w:val="6D035942"/>
    <w:rsid w:val="6DB87DCC"/>
    <w:rsid w:val="6DE17DF0"/>
    <w:rsid w:val="6DFE693E"/>
    <w:rsid w:val="6E1108C0"/>
    <w:rsid w:val="6E3A1BAE"/>
    <w:rsid w:val="6E8E1310"/>
    <w:rsid w:val="6EA85649"/>
    <w:rsid w:val="6FD52E85"/>
    <w:rsid w:val="703D33CF"/>
    <w:rsid w:val="72041FFF"/>
    <w:rsid w:val="72426DE5"/>
    <w:rsid w:val="73462428"/>
    <w:rsid w:val="73C35EAE"/>
    <w:rsid w:val="7436549D"/>
    <w:rsid w:val="745F1753"/>
    <w:rsid w:val="75070127"/>
    <w:rsid w:val="75A13C66"/>
    <w:rsid w:val="75CF7368"/>
    <w:rsid w:val="7692131E"/>
    <w:rsid w:val="76CC35EA"/>
    <w:rsid w:val="76DF5951"/>
    <w:rsid w:val="771334B6"/>
    <w:rsid w:val="78F44C22"/>
    <w:rsid w:val="79A8022B"/>
    <w:rsid w:val="7A895403"/>
    <w:rsid w:val="7AB507DE"/>
    <w:rsid w:val="7AC45CD4"/>
    <w:rsid w:val="7B4546B7"/>
    <w:rsid w:val="7B4D670C"/>
    <w:rsid w:val="7B747DD4"/>
    <w:rsid w:val="7B93015F"/>
    <w:rsid w:val="7BC840DB"/>
    <w:rsid w:val="7BCE60C2"/>
    <w:rsid w:val="7DB03D50"/>
    <w:rsid w:val="7F1B6DE2"/>
    <w:rsid w:val="7F6E2274"/>
    <w:rsid w:val="7FDB09A9"/>
    <w:rsid w:val="7FFE4E7D"/>
    <w:rsid w:val="7FFEFE44"/>
    <w:rsid w:val="A7D1BAEB"/>
    <w:rsid w:val="C7EBC60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38"/>
    <w:qFormat/>
    <w:locked/>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w:basedOn w:val="1"/>
    <w:next w:val="3"/>
    <w:link w:val="30"/>
    <w:semiHidden/>
    <w:qFormat/>
    <w:uiPriority w:val="99"/>
    <w:pPr>
      <w:widowControl/>
      <w:spacing w:line="450" w:lineRule="atLeast"/>
      <w:ind w:firstLine="480"/>
      <w:jc w:val="left"/>
    </w:pPr>
    <w:rPr>
      <w:rFonts w:ascii="宋体" w:hAnsi="宋体" w:cs="宋体"/>
      <w:spacing w:val="48"/>
      <w:kern w:val="0"/>
      <w:sz w:val="24"/>
      <w:szCs w:val="24"/>
    </w:rPr>
  </w:style>
  <w:style w:type="paragraph" w:styleId="3">
    <w:name w:val="Note Heading"/>
    <w:basedOn w:val="1"/>
    <w:next w:val="1"/>
    <w:qFormat/>
    <w:uiPriority w:val="0"/>
    <w:pPr>
      <w:jc w:val="center"/>
    </w:pPr>
  </w:style>
  <w:style w:type="paragraph" w:styleId="5">
    <w:name w:val="annotation text"/>
    <w:basedOn w:val="1"/>
    <w:link w:val="33"/>
    <w:semiHidden/>
    <w:qFormat/>
    <w:uiPriority w:val="99"/>
    <w:pPr>
      <w:jc w:val="left"/>
    </w:pPr>
  </w:style>
  <w:style w:type="paragraph" w:styleId="6">
    <w:name w:val="Body Text Indent"/>
    <w:basedOn w:val="1"/>
    <w:qFormat/>
    <w:uiPriority w:val="0"/>
    <w:pPr>
      <w:snapToGrid w:val="0"/>
      <w:spacing w:line="560" w:lineRule="exact"/>
      <w:ind w:firstLine="600"/>
    </w:pPr>
    <w:rPr>
      <w:rFonts w:ascii="宋体" w:hAnsi="宋体"/>
      <w:color w:val="000000"/>
      <w:sz w:val="30"/>
    </w:rPr>
  </w:style>
  <w:style w:type="paragraph" w:styleId="7">
    <w:name w:val="Date"/>
    <w:basedOn w:val="1"/>
    <w:next w:val="1"/>
    <w:link w:val="37"/>
    <w:qFormat/>
    <w:uiPriority w:val="99"/>
    <w:pPr>
      <w:ind w:left="100" w:leftChars="2500"/>
    </w:pPr>
  </w:style>
  <w:style w:type="paragraph" w:styleId="8">
    <w:name w:val="Body Text Indent 2"/>
    <w:basedOn w:val="1"/>
    <w:next w:val="1"/>
    <w:link w:val="36"/>
    <w:qFormat/>
    <w:uiPriority w:val="99"/>
    <w:pPr>
      <w:spacing w:after="120" w:line="480" w:lineRule="auto"/>
      <w:ind w:left="420" w:leftChars="200"/>
    </w:pPr>
  </w:style>
  <w:style w:type="paragraph" w:styleId="9">
    <w:name w:val="Balloon Text"/>
    <w:basedOn w:val="1"/>
    <w:link w:val="35"/>
    <w:semiHidden/>
    <w:qFormat/>
    <w:uiPriority w:val="99"/>
    <w:rPr>
      <w:sz w:val="18"/>
      <w:szCs w:val="18"/>
    </w:rPr>
  </w:style>
  <w:style w:type="paragraph" w:styleId="10">
    <w:name w:val="footer"/>
    <w:basedOn w:val="1"/>
    <w:link w:val="32"/>
    <w:semiHidden/>
    <w:qFormat/>
    <w:uiPriority w:val="99"/>
    <w:pPr>
      <w:tabs>
        <w:tab w:val="center" w:pos="4153"/>
        <w:tab w:val="right" w:pos="8306"/>
      </w:tabs>
      <w:snapToGrid w:val="0"/>
      <w:jc w:val="left"/>
    </w:pPr>
    <w:rPr>
      <w:sz w:val="18"/>
      <w:szCs w:val="18"/>
    </w:rPr>
  </w:style>
  <w:style w:type="paragraph" w:styleId="11">
    <w:name w:val="header"/>
    <w:basedOn w:val="1"/>
    <w:link w:val="31"/>
    <w:semiHidden/>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5"/>
    <w:next w:val="5"/>
    <w:link w:val="34"/>
    <w:semiHidden/>
    <w:qFormat/>
    <w:uiPriority w:val="99"/>
    <w:rPr>
      <w:b/>
      <w:bCs/>
    </w:rPr>
  </w:style>
  <w:style w:type="paragraph" w:styleId="14">
    <w:name w:val="Body Text First Indent"/>
    <w:basedOn w:val="2"/>
    <w:next w:val="1"/>
    <w:unhideWhenUsed/>
    <w:qFormat/>
    <w:uiPriority w:val="99"/>
    <w:pPr>
      <w:ind w:firstLine="420" w:firstLineChars="100"/>
    </w:pPr>
  </w:style>
  <w:style w:type="paragraph" w:styleId="15">
    <w:name w:val="Body Text First Indent 2"/>
    <w:basedOn w:val="6"/>
    <w:next w:val="14"/>
    <w:qFormat/>
    <w:uiPriority w:val="0"/>
    <w:pPr>
      <w:adjustRightInd w:val="0"/>
      <w:spacing w:line="360" w:lineRule="auto"/>
      <w:ind w:firstLine="1044"/>
    </w:pPr>
    <w:rPr>
      <w:rFonts w:ascii="Times New Roman" w:hAnsi="Times New Roman"/>
    </w:rPr>
  </w:style>
  <w:style w:type="character" w:styleId="18">
    <w:name w:val="Strong"/>
    <w:basedOn w:val="17"/>
    <w:qFormat/>
    <w:locked/>
    <w:uiPriority w:val="0"/>
    <w:rPr>
      <w:b/>
    </w:rPr>
  </w:style>
  <w:style w:type="character" w:styleId="19">
    <w:name w:val="page number"/>
    <w:basedOn w:val="17"/>
    <w:qFormat/>
    <w:uiPriority w:val="99"/>
    <w:rPr>
      <w:rFonts w:cs="Times New Roman"/>
    </w:rPr>
  </w:style>
  <w:style w:type="character" w:styleId="20">
    <w:name w:val="Emphasis"/>
    <w:basedOn w:val="17"/>
    <w:qFormat/>
    <w:locked/>
    <w:uiPriority w:val="0"/>
    <w:rPr>
      <w:i/>
    </w:rPr>
  </w:style>
  <w:style w:type="character" w:styleId="21">
    <w:name w:val="Hyperlink"/>
    <w:basedOn w:val="17"/>
    <w:unhideWhenUsed/>
    <w:qFormat/>
    <w:uiPriority w:val="99"/>
    <w:rPr>
      <w:color w:val="0000FF"/>
      <w:u w:val="single"/>
    </w:rPr>
  </w:style>
  <w:style w:type="character" w:styleId="22">
    <w:name w:val="annotation reference"/>
    <w:basedOn w:val="17"/>
    <w:semiHidden/>
    <w:qFormat/>
    <w:uiPriority w:val="99"/>
    <w:rPr>
      <w:rFonts w:cs="Times New Roman"/>
      <w:sz w:val="21"/>
      <w:szCs w:val="21"/>
    </w:rPr>
  </w:style>
  <w:style w:type="paragraph" w:customStyle="1" w:styleId="23">
    <w:name w:val="正文(首行缩进)"/>
    <w:basedOn w:val="1"/>
    <w:qFormat/>
    <w:uiPriority w:val="0"/>
    <w:pPr>
      <w:adjustRightInd w:val="0"/>
      <w:snapToGrid w:val="0"/>
      <w:spacing w:line="360" w:lineRule="auto"/>
      <w:ind w:firstLine="200" w:firstLineChars="200"/>
    </w:pPr>
    <w:rPr>
      <w:snapToGrid w:val="0"/>
      <w:szCs w:val="24"/>
    </w:rPr>
  </w:style>
  <w:style w:type="paragraph" w:customStyle="1" w:styleId="24">
    <w:name w:val="_Style 2"/>
    <w:basedOn w:val="1"/>
    <w:qFormat/>
    <w:uiPriority w:val="99"/>
    <w:pPr>
      <w:spacing w:line="360" w:lineRule="auto"/>
      <w:ind w:firstLine="200" w:firstLineChars="200"/>
    </w:pPr>
    <w:rPr>
      <w:rFonts w:ascii="Times New Roman" w:hAnsi="Times New Roman"/>
      <w:szCs w:val="24"/>
    </w:rPr>
  </w:style>
  <w:style w:type="paragraph" w:customStyle="1" w:styleId="25">
    <w:name w:val="列出段落1"/>
    <w:basedOn w:val="1"/>
    <w:qFormat/>
    <w:uiPriority w:val="99"/>
    <w:pPr>
      <w:ind w:firstLine="420" w:firstLineChars="200"/>
    </w:p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环评文本"/>
    <w:basedOn w:val="1"/>
    <w:qFormat/>
    <w:uiPriority w:val="0"/>
    <w:pPr>
      <w:spacing w:line="360" w:lineRule="auto"/>
      <w:ind w:firstLine="480" w:firstLineChars="200"/>
    </w:pPr>
    <w:rPr>
      <w:color w:val="000000"/>
      <w:sz w:val="24"/>
    </w:rPr>
  </w:style>
  <w:style w:type="paragraph" w:customStyle="1" w:styleId="28">
    <w:name w:val="0文本"/>
    <w:basedOn w:val="27"/>
    <w:qFormat/>
    <w:uiPriority w:val="0"/>
    <w:pPr>
      <w:tabs>
        <w:tab w:val="left" w:pos="4500"/>
      </w:tabs>
    </w:pPr>
    <w:rPr>
      <w:rFonts w:ascii="Times New Roman" w:hAnsi="Times New Roman"/>
    </w:rPr>
  </w:style>
  <w:style w:type="paragraph" w:customStyle="1" w:styleId="29">
    <w:name w:val="000正文abing(新)"/>
    <w:basedOn w:val="1"/>
    <w:qFormat/>
    <w:uiPriority w:val="0"/>
    <w:pPr>
      <w:widowControl/>
      <w:spacing w:line="440" w:lineRule="exact"/>
      <w:ind w:firstLine="480" w:firstLineChars="200"/>
    </w:pPr>
    <w:rPr>
      <w:rFonts w:eastAsia="Times New Roman"/>
      <w:sz w:val="24"/>
    </w:rPr>
  </w:style>
  <w:style w:type="character" w:customStyle="1" w:styleId="30">
    <w:name w:val="正文文本 Char"/>
    <w:basedOn w:val="17"/>
    <w:link w:val="2"/>
    <w:semiHidden/>
    <w:qFormat/>
    <w:locked/>
    <w:uiPriority w:val="99"/>
    <w:rPr>
      <w:rFonts w:ascii="宋体" w:hAnsi="宋体" w:eastAsia="宋体" w:cs="宋体"/>
      <w:spacing w:val="48"/>
      <w:kern w:val="0"/>
      <w:sz w:val="24"/>
      <w:szCs w:val="24"/>
    </w:rPr>
  </w:style>
  <w:style w:type="character" w:customStyle="1" w:styleId="31">
    <w:name w:val="页眉 Char"/>
    <w:basedOn w:val="17"/>
    <w:link w:val="11"/>
    <w:semiHidden/>
    <w:qFormat/>
    <w:locked/>
    <w:uiPriority w:val="99"/>
    <w:rPr>
      <w:rFonts w:cs="Times New Roman"/>
      <w:kern w:val="2"/>
      <w:sz w:val="18"/>
      <w:szCs w:val="18"/>
    </w:rPr>
  </w:style>
  <w:style w:type="character" w:customStyle="1" w:styleId="32">
    <w:name w:val="页脚 Char"/>
    <w:basedOn w:val="17"/>
    <w:link w:val="10"/>
    <w:semiHidden/>
    <w:qFormat/>
    <w:locked/>
    <w:uiPriority w:val="99"/>
    <w:rPr>
      <w:rFonts w:cs="Times New Roman"/>
      <w:kern w:val="2"/>
      <w:sz w:val="18"/>
      <w:szCs w:val="18"/>
    </w:rPr>
  </w:style>
  <w:style w:type="character" w:customStyle="1" w:styleId="33">
    <w:name w:val="批注文字 Char"/>
    <w:basedOn w:val="17"/>
    <w:link w:val="5"/>
    <w:semiHidden/>
    <w:qFormat/>
    <w:locked/>
    <w:uiPriority w:val="99"/>
    <w:rPr>
      <w:rFonts w:cs="Times New Roman"/>
    </w:rPr>
  </w:style>
  <w:style w:type="character" w:customStyle="1" w:styleId="34">
    <w:name w:val="批注主题 Char"/>
    <w:basedOn w:val="33"/>
    <w:link w:val="13"/>
    <w:semiHidden/>
    <w:qFormat/>
    <w:locked/>
    <w:uiPriority w:val="99"/>
    <w:rPr>
      <w:b/>
      <w:bCs/>
    </w:rPr>
  </w:style>
  <w:style w:type="character" w:customStyle="1" w:styleId="35">
    <w:name w:val="批注框文本 Char"/>
    <w:basedOn w:val="17"/>
    <w:link w:val="9"/>
    <w:semiHidden/>
    <w:qFormat/>
    <w:locked/>
    <w:uiPriority w:val="99"/>
    <w:rPr>
      <w:rFonts w:cs="Times New Roman"/>
      <w:sz w:val="2"/>
    </w:rPr>
  </w:style>
  <w:style w:type="character" w:customStyle="1" w:styleId="36">
    <w:name w:val="正文文本缩进 2 Char"/>
    <w:basedOn w:val="17"/>
    <w:link w:val="8"/>
    <w:semiHidden/>
    <w:qFormat/>
    <w:locked/>
    <w:uiPriority w:val="99"/>
    <w:rPr>
      <w:rFonts w:cs="Times New Roman"/>
    </w:rPr>
  </w:style>
  <w:style w:type="character" w:customStyle="1" w:styleId="37">
    <w:name w:val="日期 Char"/>
    <w:basedOn w:val="17"/>
    <w:link w:val="7"/>
    <w:semiHidden/>
    <w:qFormat/>
    <w:locked/>
    <w:uiPriority w:val="99"/>
    <w:rPr>
      <w:rFonts w:cs="Times New Roman"/>
    </w:rPr>
  </w:style>
  <w:style w:type="character" w:customStyle="1" w:styleId="38">
    <w:name w:val="标题 1 Char"/>
    <w:basedOn w:val="17"/>
    <w:link w:val="4"/>
    <w:qFormat/>
    <w:uiPriority w:val="9"/>
    <w:rPr>
      <w:rFonts w:ascii="宋体" w:hAnsi="宋体" w:cs="宋体"/>
      <w:b/>
      <w:bCs/>
      <w:kern w:val="36"/>
      <w:sz w:val="48"/>
      <w:szCs w:val="48"/>
    </w:rPr>
  </w:style>
  <w:style w:type="paragraph" w:customStyle="1" w:styleId="39">
    <w:name w:val="颜表文"/>
    <w:link w:val="40"/>
    <w:qFormat/>
    <w:uiPriority w:val="0"/>
    <w:pPr>
      <w:spacing w:line="240" w:lineRule="auto"/>
      <w:ind w:firstLine="0" w:firstLineChars="0"/>
      <w:jc w:val="center"/>
    </w:pPr>
    <w:rPr>
      <w:rFonts w:ascii="Times New Roman" w:hAnsi="Times New Roman" w:eastAsia="宋体" w:cs="Times New Roman"/>
      <w:sz w:val="21"/>
    </w:rPr>
  </w:style>
  <w:style w:type="character" w:customStyle="1" w:styleId="40">
    <w:name w:val="颜表文 Char"/>
    <w:link w:val="39"/>
    <w:qFormat/>
    <w:uiPriority w:val="0"/>
    <w:rPr>
      <w:rFonts w:ascii="Times New Roman" w:hAnsi="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1786</Words>
  <Characters>1857</Characters>
  <Lines>15</Lines>
  <Paragraphs>4</Paragraphs>
  <TotalTime>2</TotalTime>
  <ScaleCrop>false</ScaleCrop>
  <LinksUpToDate>false</LinksUpToDate>
  <CharactersWithSpaces>1953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2019-06-05T16:11:00Z</dcterms:created>
  <dc:creator>meiyongjin</dc:creator>
  <cp:lastModifiedBy>.</cp:lastModifiedBy>
  <cp:lastPrinted>2026-10-22T02:57:00Z</cp:lastPrinted>
  <dcterms:modified xsi:type="dcterms:W3CDTF">2026-10-22T08:20:56Z</dcterms:modified>
  <dc:title>沙环函〔2014〕18号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241D04FCA1F44FD98E8C60CA6F83ED87</vt:lpwstr>
  </property>
  <property fmtid="{D5CDD505-2E9C-101B-9397-08002B2CF9AE}" pid="4" name="KSOTemplateDocerSaveRecord">
    <vt:lpwstr>eyJoZGlkIjoiODc2ZTUwMDZlMWVhNmU3ZWFlZTRhNzc0NDhiZjJhMWYiLCJ1c2VySWQiOiI2Njg4MDc2OTYifQ==</vt:lpwstr>
  </property>
</Properties>
</file>