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7820">
      <w:pPr>
        <w:spacing w:before="100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FEC94CE">
      <w:pPr>
        <w:spacing w:line="431" w:lineRule="auto"/>
        <w:rPr>
          <w:rFonts w:ascii="Arial"/>
          <w:sz w:val="21"/>
        </w:rPr>
      </w:pPr>
    </w:p>
    <w:p w14:paraId="70BC0FC5">
      <w:pPr>
        <w:spacing w:before="185" w:line="167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eastAsia="zh-CN"/>
        </w:rPr>
        <w:t>沙县区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涉企收费长效监管重点任务分工</w:t>
      </w:r>
    </w:p>
    <w:tbl>
      <w:tblPr>
        <w:tblStyle w:val="5"/>
        <w:tblW w:w="14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7267"/>
        <w:gridCol w:w="4041"/>
      </w:tblGrid>
      <w:tr w14:paraId="4B5EB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F4FD06">
            <w:pPr>
              <w:spacing w:before="42" w:line="213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pacing w:val="4"/>
                <w:sz w:val="31"/>
                <w:szCs w:val="31"/>
                <w:lang w:eastAsia="zh-CN"/>
              </w:rPr>
              <w:t>工作</w:t>
            </w: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要点</w:t>
            </w:r>
          </w:p>
        </w:tc>
        <w:tc>
          <w:tcPr>
            <w:tcW w:w="7267" w:type="dxa"/>
            <w:tcBorders>
              <w:top w:val="single" w:color="auto" w:sz="4" w:space="0"/>
            </w:tcBorders>
            <w:vAlign w:val="center"/>
          </w:tcPr>
          <w:p w14:paraId="40303997">
            <w:pPr>
              <w:spacing w:before="42" w:line="213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任务分工</w:t>
            </w:r>
          </w:p>
        </w:tc>
        <w:tc>
          <w:tcPr>
            <w:tcW w:w="40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22C219">
            <w:pPr>
              <w:spacing w:before="42" w:line="213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责任部门</w:t>
            </w:r>
          </w:p>
        </w:tc>
      </w:tr>
      <w:tr w14:paraId="4A9E1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287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7493E948">
            <w:pPr>
              <w:pStyle w:val="6"/>
              <w:spacing w:before="98" w:line="246" w:lineRule="auto"/>
              <w:ind w:right="104"/>
              <w:jc w:val="center"/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一、健全涉企收费目录清单制度</w:t>
            </w:r>
          </w:p>
        </w:tc>
        <w:tc>
          <w:tcPr>
            <w:tcW w:w="7267" w:type="dxa"/>
            <w:vAlign w:val="top"/>
          </w:tcPr>
          <w:p w14:paraId="7C2D42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40" w:lineRule="exact"/>
              <w:ind w:left="119" w:right="109" w:hanging="2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bCs/>
              </w:rPr>
              <w:t>健全专项目录清单。</w:t>
            </w:r>
            <w:r>
              <w:rPr>
                <w:rFonts w:hint="eastAsia" w:ascii="仿宋_GB2312" w:hAnsi="仿宋_GB2312" w:eastAsia="仿宋_GB2312" w:cs="仿宋_GB2312"/>
              </w:rPr>
              <w:t>发改、财政部门负责政府定价的经营服务性收费、行政事业性收费等收费目录清单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公布</w:t>
            </w:r>
            <w:r>
              <w:rPr>
                <w:rFonts w:hint="eastAsia" w:ascii="仿宋_GB2312" w:hAnsi="仿宋_GB2312" w:eastAsia="仿宋_GB2312" w:cs="仿宋_GB2312"/>
              </w:rPr>
              <w:t>工作。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行政事业性收费、</w:t>
            </w:r>
            <w:r>
              <w:rPr>
                <w:rFonts w:hint="eastAsia" w:ascii="仿宋_GB2312" w:hAnsi="仿宋_GB2312" w:eastAsia="仿宋_GB2312" w:cs="仿宋_GB2312"/>
              </w:rPr>
              <w:t>涉企保证金和政府性基金执行国家和省制定的目录清单。</w:t>
            </w:r>
          </w:p>
        </w:tc>
        <w:tc>
          <w:tcPr>
            <w:tcW w:w="4041" w:type="dxa"/>
            <w:tcBorders>
              <w:right w:val="single" w:color="auto" w:sz="4" w:space="0"/>
            </w:tcBorders>
            <w:vAlign w:val="center"/>
          </w:tcPr>
          <w:p w14:paraId="51BDDC8A">
            <w:pPr>
              <w:pStyle w:val="6"/>
              <w:spacing w:before="98" w:line="218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区发改局、区财政局</w:t>
            </w:r>
          </w:p>
        </w:tc>
      </w:tr>
      <w:tr w14:paraId="53AF9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 w14:paraId="28762FEF">
            <w:pPr>
              <w:rPr>
                <w:rFonts w:ascii="Arial"/>
                <w:sz w:val="21"/>
              </w:rPr>
            </w:pPr>
          </w:p>
        </w:tc>
        <w:tc>
          <w:tcPr>
            <w:tcW w:w="7267" w:type="dxa"/>
            <w:tcBorders>
              <w:bottom w:val="single" w:color="000000" w:sz="2" w:space="0"/>
            </w:tcBorders>
            <w:vAlign w:val="top"/>
          </w:tcPr>
          <w:p w14:paraId="32DA6D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40" w:lineRule="exact"/>
              <w:ind w:left="118" w:right="109" w:hanging="1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b/>
                <w:bCs/>
              </w:rPr>
              <w:t>健全涉企收费综合性目录清单。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各部门严格对照法律法规和相关政策要求，建立涵盖部门及下属单位（含企业）本级所有涉企收费项目的综合性目录清单，包括行政事业性收费、政府性基金、涉企保证金、政府定价的经营服务性收费、实行市场调节价的经营服务性收费等收费项目，实现每个部门涉企收费一张目录清单全覆盖，清单之外一律不得收费。</w:t>
            </w:r>
          </w:p>
        </w:tc>
        <w:tc>
          <w:tcPr>
            <w:tcW w:w="40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23B3DB">
            <w:pPr>
              <w:pStyle w:val="6"/>
              <w:spacing w:before="336" w:line="218" w:lineRule="auto"/>
              <w:ind w:left="13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区有关部门</w:t>
            </w:r>
          </w:p>
        </w:tc>
      </w:tr>
      <w:tr w14:paraId="196D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87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84CCCE">
            <w:pPr>
              <w:pStyle w:val="6"/>
              <w:spacing w:before="61" w:line="218" w:lineRule="auto"/>
              <w:ind w:left="126"/>
              <w:jc w:val="left"/>
            </w:pPr>
            <w:r>
              <w:rPr>
                <w:rFonts w:ascii="黑体" w:hAnsi="黑体" w:eastAsia="黑体" w:cs="黑体"/>
                <w:spacing w:val="-1"/>
                <w:sz w:val="30"/>
                <w:szCs w:val="30"/>
              </w:rPr>
              <w:t>二、完善涉企收费政策评估审核工作机制</w:t>
            </w:r>
          </w:p>
        </w:tc>
        <w:tc>
          <w:tcPr>
            <w:tcW w:w="7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5A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40" w:lineRule="exact"/>
              <w:ind w:left="122" w:right="108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（三）加强新出台政策合规审查。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按规定开展宏观政策取向一致性评估、合法性审核、公平竞争审查等工作，加强对新出台涉企收费政策合法性、公平性以及社会预期影响等方面的评估审核。</w:t>
            </w:r>
          </w:p>
        </w:tc>
        <w:tc>
          <w:tcPr>
            <w:tcW w:w="4041" w:type="dxa"/>
            <w:vAlign w:val="center"/>
          </w:tcPr>
          <w:p w14:paraId="0D693486">
            <w:pPr>
              <w:pStyle w:val="6"/>
              <w:spacing w:before="61" w:line="218" w:lineRule="auto"/>
              <w:ind w:left="123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区发改局、区司法局、区市场监管局</w:t>
            </w:r>
          </w:p>
        </w:tc>
      </w:tr>
      <w:tr w14:paraId="04AB6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87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C1C3D">
            <w:pPr>
              <w:rPr>
                <w:rFonts w:ascii="Arial"/>
                <w:sz w:val="21"/>
              </w:rPr>
            </w:pPr>
          </w:p>
        </w:tc>
        <w:tc>
          <w:tcPr>
            <w:tcW w:w="7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BDB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40" w:lineRule="exact"/>
              <w:ind w:left="128" w:right="23" w:hanging="15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（四）加强收费项目评估论证。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行业主管部门及下属单位、行政审批中介服务机构、行业协会商会等要加强涉企收费项目评估论证，严禁违规新设涉企收费项目。</w:t>
            </w:r>
          </w:p>
        </w:tc>
        <w:tc>
          <w:tcPr>
            <w:tcW w:w="4041" w:type="dxa"/>
            <w:vAlign w:val="center"/>
          </w:tcPr>
          <w:p w14:paraId="7B706AF3">
            <w:pPr>
              <w:spacing w:line="364" w:lineRule="auto"/>
              <w:jc w:val="center"/>
              <w:rPr>
                <w:rFonts w:ascii="Arial"/>
                <w:sz w:val="21"/>
              </w:rPr>
            </w:pPr>
          </w:p>
          <w:p w14:paraId="29CF18E3">
            <w:pPr>
              <w:pStyle w:val="6"/>
              <w:spacing w:before="97" w:line="217" w:lineRule="auto"/>
              <w:ind w:left="13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各行业主管部门</w:t>
            </w:r>
          </w:p>
        </w:tc>
      </w:tr>
      <w:tr w14:paraId="22C44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873" w:type="dxa"/>
            <w:vMerge w:val="restart"/>
            <w:tcBorders>
              <w:top w:val="single" w:color="000000" w:sz="2" w:space="0"/>
            </w:tcBorders>
            <w:vAlign w:val="center"/>
          </w:tcPr>
          <w:p w14:paraId="012AF80E">
            <w:pPr>
              <w:pStyle w:val="6"/>
              <w:spacing w:before="98" w:line="246" w:lineRule="auto"/>
              <w:ind w:right="104"/>
              <w:jc w:val="center"/>
            </w:pPr>
            <w:r>
              <w:rPr>
                <w:rFonts w:ascii="黑体" w:hAnsi="黑体" w:eastAsia="黑体" w:cs="黑体"/>
                <w:spacing w:val="-1"/>
                <w:sz w:val="30"/>
                <w:szCs w:val="30"/>
              </w:rPr>
              <w:t>三、加强涉企收费政策常态化宣传解读</w:t>
            </w:r>
          </w:p>
        </w:tc>
        <w:tc>
          <w:tcPr>
            <w:tcW w:w="7267" w:type="dxa"/>
            <w:tcBorders>
              <w:top w:val="single" w:color="000000" w:sz="2" w:space="0"/>
            </w:tcBorders>
            <w:vAlign w:val="top"/>
          </w:tcPr>
          <w:p w14:paraId="60A912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40" w:lineRule="exact"/>
              <w:ind w:left="118" w:right="109" w:hanging="4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（五）做好常态化更新发布工作。</w:t>
            </w:r>
            <w:r>
              <w:rPr>
                <w:rFonts w:hint="eastAsia" w:ascii="仿宋_GB2312" w:hAnsi="仿宋_GB2312" w:eastAsia="仿宋_GB2312" w:cs="仿宋_GB2312"/>
              </w:rPr>
              <w:t>在部门官网常态化更新发布本领域涉企收费政策，通过专家解读等方式加大政策宣传力度。</w:t>
            </w:r>
          </w:p>
        </w:tc>
        <w:tc>
          <w:tcPr>
            <w:tcW w:w="4041" w:type="dxa"/>
            <w:vAlign w:val="center"/>
          </w:tcPr>
          <w:p w14:paraId="6D9B038D">
            <w:pPr>
              <w:pStyle w:val="6"/>
              <w:spacing w:before="262" w:line="248" w:lineRule="auto"/>
              <w:ind w:left="117" w:right="96" w:firstLine="1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各行业主管部门</w:t>
            </w:r>
          </w:p>
        </w:tc>
      </w:tr>
      <w:tr w14:paraId="65B6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2873" w:type="dxa"/>
            <w:vMerge w:val="continue"/>
            <w:vAlign w:val="center"/>
          </w:tcPr>
          <w:p w14:paraId="4C8C5E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67" w:type="dxa"/>
            <w:vAlign w:val="top"/>
          </w:tcPr>
          <w:p w14:paraId="267177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40" w:lineRule="exact"/>
              <w:ind w:left="115" w:right="10" w:hanging="4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（六）加大政策宣传解读工作力度。</w:t>
            </w: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>充分发挥全</w:t>
            </w: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>减轻企业负担相关工作机制作用，牵头组织政策宣传周，通过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30"/>
                <w:szCs w:val="30"/>
                <w:lang w:eastAsia="zh-CN"/>
              </w:rPr>
              <w:t>区</w:t>
            </w:r>
            <w:bookmarkEnd w:id="0"/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>政府门户网站等平台发布政策及解读。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落实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重点企业运行监测统计调查制度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。</w:t>
            </w:r>
          </w:p>
        </w:tc>
        <w:tc>
          <w:tcPr>
            <w:tcW w:w="4041" w:type="dxa"/>
            <w:vAlign w:val="center"/>
          </w:tcPr>
          <w:p w14:paraId="508C8A00">
            <w:pPr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885F5E">
            <w:pPr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2DA220">
            <w:pPr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90B154">
            <w:pPr>
              <w:pStyle w:val="6"/>
              <w:spacing w:before="97" w:line="248" w:lineRule="auto"/>
              <w:ind w:left="129" w:right="105" w:firstLine="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lang w:eastAsia="zh-CN"/>
              </w:rPr>
              <w:t>区工信科技局</w:t>
            </w:r>
          </w:p>
        </w:tc>
      </w:tr>
      <w:tr w14:paraId="7A824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2873" w:type="dxa"/>
            <w:vMerge w:val="continue"/>
            <w:vAlign w:val="center"/>
          </w:tcPr>
          <w:p w14:paraId="48E1D3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67" w:type="dxa"/>
            <w:vAlign w:val="top"/>
          </w:tcPr>
          <w:p w14:paraId="7ABE66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40" w:lineRule="exact"/>
              <w:ind w:left="115" w:right="10" w:hanging="4"/>
              <w:jc w:val="both"/>
              <w:textAlignment w:val="baseline"/>
              <w:rPr>
                <w:rFonts w:hint="eastAsia"/>
                <w:b/>
                <w:bCs/>
                <w:spacing w:val="5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（七）创新政策宣传解读方式。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lang w:eastAsia="zh-CN"/>
              </w:rPr>
              <w:t>加强政府门户网站等平台建设，协同有关部门推动涉企收费清单及政策动态公开。指导各有关部门运用大数据等手段，结合企业办理中介服务等事项，向企业精准推送收费目录指引以及有关解读说明材料，加强监管信息归集共享和关联整合等工作。</w:t>
            </w:r>
          </w:p>
        </w:tc>
        <w:tc>
          <w:tcPr>
            <w:tcW w:w="4041" w:type="dxa"/>
            <w:vAlign w:val="center"/>
          </w:tcPr>
          <w:p w14:paraId="6D7C4B0F">
            <w:pPr>
              <w:pStyle w:val="6"/>
              <w:spacing w:before="97" w:line="248" w:lineRule="auto"/>
              <w:ind w:left="129" w:right="105" w:firstLine="2"/>
              <w:jc w:val="center"/>
              <w:rPr>
                <w:rFonts w:hint="eastAsia"/>
                <w:spacing w:val="-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lang w:val="en-US" w:eastAsia="zh-CN"/>
              </w:rPr>
              <w:t>区政府办牵头</w:t>
            </w:r>
          </w:p>
        </w:tc>
      </w:tr>
      <w:tr w14:paraId="31E06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873" w:type="dxa"/>
            <w:vAlign w:val="center"/>
          </w:tcPr>
          <w:p w14:paraId="3C5B2672">
            <w:pPr>
              <w:pStyle w:val="6"/>
              <w:spacing w:before="59" w:line="238" w:lineRule="auto"/>
              <w:ind w:left="121" w:right="104" w:firstLine="16"/>
              <w:jc w:val="center"/>
            </w:pPr>
            <w:r>
              <w:rPr>
                <w:rFonts w:ascii="黑体" w:hAnsi="黑体" w:eastAsia="黑体" w:cs="黑体"/>
                <w:spacing w:val="-2"/>
                <w:sz w:val="30"/>
                <w:szCs w:val="30"/>
              </w:rPr>
              <w:t>四、健全涉企收费跟踪监测制度</w:t>
            </w:r>
          </w:p>
        </w:tc>
        <w:tc>
          <w:tcPr>
            <w:tcW w:w="7267" w:type="dxa"/>
            <w:vAlign w:val="top"/>
          </w:tcPr>
          <w:p w14:paraId="5D8320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40" w:lineRule="exact"/>
              <w:ind w:left="116" w:right="10" w:firstLine="7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（八）加强日常跟踪监测。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通过多种方式加强对本领域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涉企收费情况的监测，发挥新闻媒体、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行业协会商会等作用，及时了解涉企收费政策执行情况和企业意见建议，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推动解决企业关切的问题。</w:t>
            </w:r>
          </w:p>
        </w:tc>
        <w:tc>
          <w:tcPr>
            <w:tcW w:w="4041" w:type="dxa"/>
            <w:vAlign w:val="center"/>
          </w:tcPr>
          <w:p w14:paraId="33DF7EB0">
            <w:pPr>
              <w:pStyle w:val="6"/>
              <w:spacing w:before="97" w:line="217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区有关部门</w:t>
            </w:r>
          </w:p>
        </w:tc>
      </w:tr>
      <w:tr w14:paraId="71B37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2873" w:type="dxa"/>
            <w:vMerge w:val="restart"/>
            <w:vAlign w:val="center"/>
          </w:tcPr>
          <w:p w14:paraId="71AC96BB">
            <w:pPr>
              <w:spacing w:line="363" w:lineRule="auto"/>
              <w:jc w:val="center"/>
              <w:rPr>
                <w:rFonts w:ascii="Arial"/>
                <w:sz w:val="21"/>
              </w:rPr>
            </w:pPr>
          </w:p>
          <w:p w14:paraId="0F59015C">
            <w:pPr>
              <w:pStyle w:val="6"/>
              <w:spacing w:before="97" w:line="247" w:lineRule="auto"/>
              <w:ind w:left="119" w:right="106" w:firstLine="18"/>
              <w:jc w:val="left"/>
            </w:pPr>
            <w:r>
              <w:rPr>
                <w:rFonts w:ascii="黑体" w:hAnsi="黑体" w:eastAsia="黑体" w:cs="黑体"/>
                <w:spacing w:val="-1"/>
                <w:sz w:val="30"/>
                <w:szCs w:val="30"/>
              </w:rPr>
              <w:t>五、健全涉企收费问题线索收集和处理机制</w:t>
            </w:r>
          </w:p>
        </w:tc>
        <w:tc>
          <w:tcPr>
            <w:tcW w:w="7267" w:type="dxa"/>
            <w:vAlign w:val="top"/>
          </w:tcPr>
          <w:p w14:paraId="369ED6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40" w:lineRule="exact"/>
              <w:ind w:left="122" w:right="108" w:hanging="9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(九)健全问题线索收集机制。</w:t>
            </w:r>
            <w:r>
              <w:rPr>
                <w:rFonts w:hint="eastAsia" w:ascii="仿宋_GB2312" w:hAnsi="仿宋_GB2312" w:eastAsia="仿宋_GB2312" w:cs="仿宋_GB2312"/>
              </w:rPr>
              <w:t>各有关部门要通过在门户网站设立信访专栏、公开投诉举报电话、整合涉企乱收费乱罚款乱摊派问题线索收集平台等方式，常态化收集涉企违规收费问题线索和意见建议。</w:t>
            </w:r>
          </w:p>
        </w:tc>
        <w:tc>
          <w:tcPr>
            <w:tcW w:w="4041" w:type="dxa"/>
            <w:vAlign w:val="center"/>
          </w:tcPr>
          <w:p w14:paraId="61950851">
            <w:pPr>
              <w:pStyle w:val="6"/>
              <w:spacing w:before="98" w:line="217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区有关部门</w:t>
            </w:r>
          </w:p>
        </w:tc>
      </w:tr>
      <w:tr w14:paraId="63535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873" w:type="dxa"/>
            <w:vMerge w:val="continue"/>
            <w:vAlign w:val="top"/>
          </w:tcPr>
          <w:p w14:paraId="667180F1">
            <w:pPr>
              <w:pStyle w:val="6"/>
              <w:spacing w:before="152" w:line="248" w:lineRule="auto"/>
              <w:ind w:left="128" w:right="110" w:firstLine="9"/>
            </w:pPr>
          </w:p>
        </w:tc>
        <w:tc>
          <w:tcPr>
            <w:tcW w:w="7267" w:type="dxa"/>
            <w:vAlign w:val="top"/>
          </w:tcPr>
          <w:p w14:paraId="23FEBC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340" w:lineRule="exact"/>
              <w:ind w:left="140" w:right="105" w:hanging="23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(十)健全问题线索处理机制。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市场监管部门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加强对违规收费行为查处工作的指导，依法曝光涉企违规收费典型案例。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工信部门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会同有关部门每年按规定督促整改发现的涉企违规收费问题。</w:t>
            </w:r>
          </w:p>
        </w:tc>
        <w:tc>
          <w:tcPr>
            <w:tcW w:w="4041" w:type="dxa"/>
            <w:vAlign w:val="center"/>
          </w:tcPr>
          <w:p w14:paraId="7215E48E">
            <w:pPr>
              <w:pStyle w:val="6"/>
              <w:spacing w:before="98" w:line="218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区市场监管局、区工信科技局</w:t>
            </w:r>
          </w:p>
        </w:tc>
      </w:tr>
      <w:tr w14:paraId="173C8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2873" w:type="dxa"/>
            <w:vMerge w:val="restart"/>
            <w:vAlign w:val="center"/>
          </w:tcPr>
          <w:p w14:paraId="631E43BD">
            <w:pPr>
              <w:pStyle w:val="6"/>
              <w:spacing w:before="267" w:line="247" w:lineRule="auto"/>
              <w:ind w:left="123" w:right="104" w:firstLine="15"/>
              <w:jc w:val="center"/>
            </w:pPr>
            <w:r>
              <w:rPr>
                <w:rFonts w:ascii="黑体" w:hAnsi="黑体" w:eastAsia="黑体" w:cs="黑体"/>
                <w:spacing w:val="-2"/>
                <w:sz w:val="30"/>
                <w:szCs w:val="30"/>
              </w:rPr>
              <w:t>六、加强相关领域收费规范</w:t>
            </w:r>
          </w:p>
        </w:tc>
        <w:tc>
          <w:tcPr>
            <w:tcW w:w="7267" w:type="dxa"/>
            <w:vAlign w:val="top"/>
          </w:tcPr>
          <w:p w14:paraId="37EF89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40" w:lineRule="exact"/>
              <w:ind w:left="121" w:right="23" w:hanging="4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(十一)加强中介服务收费规范。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各有关部门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依法清理违规中介服务事项、委托服务事项等，不得违规新增中介服务事项，不得将政务服务事项转为中介服务事项；属于政府管理职责的委托服务事项，相关费用由行政审批管理部门支付，不得转嫁给企业；清理对中介服务的不合理市场准入限制，支持和培育更多经营主体进入市场，促进公平竞争。</w:t>
            </w:r>
          </w:p>
        </w:tc>
        <w:tc>
          <w:tcPr>
            <w:tcW w:w="4041" w:type="dxa"/>
            <w:vAlign w:val="center"/>
          </w:tcPr>
          <w:p w14:paraId="11D0BB9F">
            <w:pPr>
              <w:pStyle w:val="6"/>
              <w:spacing w:before="98" w:line="247" w:lineRule="auto"/>
              <w:ind w:right="96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区有关部门</w:t>
            </w:r>
          </w:p>
        </w:tc>
      </w:tr>
      <w:tr w14:paraId="4AA6C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873" w:type="dxa"/>
            <w:vMerge w:val="continue"/>
            <w:vAlign w:val="top"/>
          </w:tcPr>
          <w:p w14:paraId="10221F5D">
            <w:pPr>
              <w:pStyle w:val="6"/>
              <w:spacing w:before="267" w:line="247" w:lineRule="auto"/>
              <w:ind w:left="123" w:right="104" w:firstLine="15"/>
              <w:jc w:val="both"/>
              <w:rPr>
                <w:rFonts w:ascii="黑体" w:hAnsi="黑体" w:eastAsia="黑体" w:cs="黑体"/>
                <w:spacing w:val="-2"/>
                <w:sz w:val="30"/>
                <w:szCs w:val="30"/>
              </w:rPr>
            </w:pPr>
          </w:p>
        </w:tc>
        <w:tc>
          <w:tcPr>
            <w:tcW w:w="7267" w:type="dxa"/>
            <w:vAlign w:val="top"/>
          </w:tcPr>
          <w:p w14:paraId="109834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40" w:lineRule="exact"/>
              <w:ind w:left="121" w:right="23" w:hanging="4"/>
              <w:jc w:val="both"/>
              <w:textAlignment w:val="baseline"/>
              <w:rPr>
                <w:spacing w:val="6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(十二)加强行业协会商会收费规范。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落实完善社会团体会费管理等制度，配合有关部门持续深化行业协会商会改革，推动健全综合监管体系，规范行业协会商会收费行为。</w:t>
            </w:r>
          </w:p>
        </w:tc>
        <w:tc>
          <w:tcPr>
            <w:tcW w:w="4041" w:type="dxa"/>
            <w:vAlign w:val="center"/>
          </w:tcPr>
          <w:p w14:paraId="503CEA1F">
            <w:pPr>
              <w:pStyle w:val="6"/>
              <w:spacing w:before="98" w:line="247" w:lineRule="auto"/>
              <w:ind w:right="96"/>
              <w:jc w:val="center"/>
              <w:rPr>
                <w:rFonts w:hint="eastAsia" w:eastAsia="仿宋"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区民政局</w:t>
            </w:r>
          </w:p>
        </w:tc>
      </w:tr>
      <w:tr w14:paraId="5E0E0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2873" w:type="dxa"/>
            <w:vMerge w:val="continue"/>
            <w:vAlign w:val="top"/>
          </w:tcPr>
          <w:p w14:paraId="1706685D">
            <w:pPr>
              <w:pStyle w:val="6"/>
              <w:spacing w:before="59" w:line="248" w:lineRule="auto"/>
              <w:ind w:left="119" w:right="107" w:hanging="1"/>
              <w:jc w:val="both"/>
            </w:pPr>
          </w:p>
        </w:tc>
        <w:tc>
          <w:tcPr>
            <w:tcW w:w="7267" w:type="dxa"/>
            <w:vAlign w:val="top"/>
          </w:tcPr>
          <w:p w14:paraId="4F4DE7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40" w:lineRule="exact"/>
              <w:ind w:left="107" w:right="104" w:firstLine="12"/>
              <w:jc w:val="both"/>
              <w:textAlignment w:val="baseline"/>
            </w:pPr>
            <w:r>
              <w:rPr>
                <w:rFonts w:hint="eastAsia" w:ascii="楷体_GB2312" w:hAnsi="楷体_GB2312" w:eastAsia="楷体_GB2312" w:cs="楷体_GB2312"/>
                <w:b/>
                <w:bCs/>
              </w:rPr>
              <w:t>(十</w:t>
            </w:r>
            <w:r>
              <w:rPr>
                <w:rFonts w:hint="eastAsia" w:ascii="楷体_GB2312" w:hAnsi="楷体_GB2312" w:eastAsia="楷体_GB2312" w:cs="楷体_GB2312"/>
                <w:b/>
                <w:bCs/>
                <w:lang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</w:rPr>
              <w:t>)加强城镇供水供电供气行业收费规范。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持续规范城镇供水、供电、供气行业收费，清理取消不合理收费项目，配合有关部门推动竞争性环节市场化改革。</w:t>
            </w:r>
          </w:p>
        </w:tc>
        <w:tc>
          <w:tcPr>
            <w:tcW w:w="4041" w:type="dxa"/>
            <w:vAlign w:val="center"/>
          </w:tcPr>
          <w:p w14:paraId="2F21D8E7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zh-CN" w:bidi="ar-SA"/>
              </w:rPr>
              <w:t>区发改局牵头</w:t>
            </w:r>
          </w:p>
        </w:tc>
      </w:tr>
      <w:tr w14:paraId="0F6D6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2873" w:type="dxa"/>
            <w:vMerge w:val="continue"/>
            <w:vAlign w:val="top"/>
          </w:tcPr>
          <w:p w14:paraId="30725C2A">
            <w:pPr>
              <w:pStyle w:val="6"/>
              <w:spacing w:before="59" w:line="248" w:lineRule="auto"/>
              <w:ind w:left="119" w:right="107" w:hanging="1"/>
              <w:jc w:val="both"/>
            </w:pPr>
          </w:p>
        </w:tc>
        <w:tc>
          <w:tcPr>
            <w:tcW w:w="7267" w:type="dxa"/>
            <w:vAlign w:val="top"/>
          </w:tcPr>
          <w:p w14:paraId="5FF4DD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40" w:lineRule="exact"/>
              <w:ind w:left="107" w:right="104" w:firstLine="12"/>
              <w:jc w:val="both"/>
              <w:textAlignment w:val="baseline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eastAsia="zh-CN"/>
              </w:rPr>
              <w:t>（十四）切实加大收支管理力度。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zh-CN" w:bidi="ar-SA"/>
              </w:rPr>
              <w:t>加强非税收入监测和税费结构等相关指标分析预警，会同有关部门指导规范政府部门及下属单位收支等行为。</w:t>
            </w:r>
          </w:p>
        </w:tc>
        <w:tc>
          <w:tcPr>
            <w:tcW w:w="4041" w:type="dxa"/>
            <w:vAlign w:val="center"/>
          </w:tcPr>
          <w:p w14:paraId="2E68FDF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30"/>
                <w:szCs w:val="30"/>
                <w:lang w:val="en-US" w:eastAsia="zh-CN" w:bidi="ar-SA"/>
              </w:rPr>
              <w:t>区财政局</w:t>
            </w:r>
          </w:p>
        </w:tc>
      </w:tr>
    </w:tbl>
    <w:p w14:paraId="229A9E4A">
      <w:pPr>
        <w:spacing w:before="97" w:line="248" w:lineRule="auto"/>
        <w:ind w:right="116"/>
        <w:rPr>
          <w:rFonts w:ascii="仿宋" w:hAnsi="仿宋" w:eastAsia="仿宋" w:cs="仿宋"/>
          <w:sz w:val="30"/>
          <w:szCs w:val="30"/>
        </w:rPr>
      </w:pPr>
    </w:p>
    <w:sectPr>
      <w:pgSz w:w="16839" w:h="11907" w:orient="landscape"/>
      <w:pgMar w:top="1012" w:right="1325" w:bottom="680" w:left="13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3NjcwNjE1ZWI1YjJiNDQ4NGIxZjE2M2RjMWJmMjQifQ=="/>
  </w:docVars>
  <w:rsids>
    <w:rsidRoot w:val="00000000"/>
    <w:rsid w:val="069D7718"/>
    <w:rsid w:val="08F86B95"/>
    <w:rsid w:val="095A2901"/>
    <w:rsid w:val="0AD92F19"/>
    <w:rsid w:val="0BA2645D"/>
    <w:rsid w:val="0D330CD5"/>
    <w:rsid w:val="0EE752C9"/>
    <w:rsid w:val="101F250D"/>
    <w:rsid w:val="116F4262"/>
    <w:rsid w:val="1236515A"/>
    <w:rsid w:val="138642F4"/>
    <w:rsid w:val="15974333"/>
    <w:rsid w:val="15CC4E10"/>
    <w:rsid w:val="17046343"/>
    <w:rsid w:val="17EC2195"/>
    <w:rsid w:val="196B430B"/>
    <w:rsid w:val="1C296BF0"/>
    <w:rsid w:val="1C851E76"/>
    <w:rsid w:val="1CC64CD3"/>
    <w:rsid w:val="1D032F46"/>
    <w:rsid w:val="1D817A6C"/>
    <w:rsid w:val="1E544E31"/>
    <w:rsid w:val="1F5A640C"/>
    <w:rsid w:val="1FD12880"/>
    <w:rsid w:val="2127463C"/>
    <w:rsid w:val="218B6A34"/>
    <w:rsid w:val="22202913"/>
    <w:rsid w:val="234156D8"/>
    <w:rsid w:val="287C3278"/>
    <w:rsid w:val="29FD164E"/>
    <w:rsid w:val="2B7C6BCB"/>
    <w:rsid w:val="30337589"/>
    <w:rsid w:val="30B1405A"/>
    <w:rsid w:val="319F4112"/>
    <w:rsid w:val="32215CCA"/>
    <w:rsid w:val="32360747"/>
    <w:rsid w:val="331752FF"/>
    <w:rsid w:val="333454B6"/>
    <w:rsid w:val="34554B8D"/>
    <w:rsid w:val="35607D6F"/>
    <w:rsid w:val="37C174CB"/>
    <w:rsid w:val="39592739"/>
    <w:rsid w:val="40223B13"/>
    <w:rsid w:val="479E2D7B"/>
    <w:rsid w:val="47B12248"/>
    <w:rsid w:val="48352B13"/>
    <w:rsid w:val="49341389"/>
    <w:rsid w:val="4ABB5D30"/>
    <w:rsid w:val="4AD928BD"/>
    <w:rsid w:val="4B271F3E"/>
    <w:rsid w:val="4C783F9D"/>
    <w:rsid w:val="4D1F46E6"/>
    <w:rsid w:val="4F3E50EB"/>
    <w:rsid w:val="50760985"/>
    <w:rsid w:val="50BA361C"/>
    <w:rsid w:val="526476DF"/>
    <w:rsid w:val="526E4E64"/>
    <w:rsid w:val="54291B58"/>
    <w:rsid w:val="545B6737"/>
    <w:rsid w:val="56EF3A03"/>
    <w:rsid w:val="57BCEAB5"/>
    <w:rsid w:val="57D945CE"/>
    <w:rsid w:val="586A7ACE"/>
    <w:rsid w:val="5A8C50F9"/>
    <w:rsid w:val="5DA269D3"/>
    <w:rsid w:val="5E6D58FA"/>
    <w:rsid w:val="616E15AC"/>
    <w:rsid w:val="61C452B5"/>
    <w:rsid w:val="63BE23C9"/>
    <w:rsid w:val="65E77ED6"/>
    <w:rsid w:val="67B62E74"/>
    <w:rsid w:val="6DDD205C"/>
    <w:rsid w:val="6E6B5E77"/>
    <w:rsid w:val="6F678AB0"/>
    <w:rsid w:val="773B288D"/>
    <w:rsid w:val="78A2250B"/>
    <w:rsid w:val="78D36C20"/>
    <w:rsid w:val="7AE022A0"/>
    <w:rsid w:val="7DA44DC6"/>
    <w:rsid w:val="7EFF0521"/>
    <w:rsid w:val="FABEA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1"/>
      <w:szCs w:val="9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1510</Words>
  <Characters>1510</Characters>
  <TotalTime>0</TotalTime>
  <ScaleCrop>false</ScaleCrop>
  <LinksUpToDate>false</LinksUpToDate>
  <CharactersWithSpaces>1511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2025-06-17T15:28:00Z</dcterms:created>
  <dc:creator>lenovo</dc:creator>
  <cp:lastModifiedBy>而山</cp:lastModifiedBy>
  <cp:lastPrinted>2025-09-05T00:19:00Z</cp:lastPrinted>
  <dcterms:modified xsi:type="dcterms:W3CDTF">2025-09-23T00:32:20Z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2025-08-11T17:42:12Z</vt:filetime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eyJoZGlkIjoiOTdmMzNiNGUzZGI5NzE3ZTAwNzQ3YzY5NTI4NDVjODMiLCJ1c2VySWQiOiI1NTMwMTY5MjQifQ==</vt:lpwstr>
  </property>
  <property fmtid="{D5CDD505-2E9C-101B-9397-08002B2CF9AE}" pid="6" name="ICV">
    <vt:lpwstr>958D3FB5437DADE6A50DB868FC67A9C4_43</vt:lpwstr>
  </property>
</Properties>
</file>