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2B176">
      <w:pPr>
        <w:autoSpaceDE w:val="0"/>
        <w:autoSpaceDN w:val="0"/>
        <w:spacing w:line="700" w:lineRule="exact"/>
        <w:ind w:firstLine="552"/>
        <w:rPr>
          <w:rFonts w:hint="eastAsia" w:ascii="宋体" w:hAnsi="宋体"/>
          <w:sz w:val="28"/>
          <w:szCs w:val="28"/>
        </w:rPr>
      </w:pPr>
    </w:p>
    <w:p w14:paraId="03B7A2D8">
      <w:pPr>
        <w:autoSpaceDE w:val="0"/>
        <w:autoSpaceDN w:val="0"/>
        <w:spacing w:line="700" w:lineRule="exact"/>
        <w:rPr>
          <w:rFonts w:hint="eastAsia" w:ascii="宋体" w:hAnsi="宋体"/>
          <w:sz w:val="28"/>
          <w:szCs w:val="28"/>
        </w:rPr>
      </w:pPr>
    </w:p>
    <w:p w14:paraId="6FF3AD33">
      <w:pPr>
        <w:autoSpaceDE w:val="0"/>
        <w:autoSpaceDN w:val="0"/>
        <w:spacing w:line="700" w:lineRule="exact"/>
        <w:rPr>
          <w:rFonts w:hint="eastAsia" w:ascii="宋体" w:hAnsi="宋体"/>
          <w:sz w:val="28"/>
          <w:szCs w:val="28"/>
        </w:rPr>
      </w:pPr>
    </w:p>
    <w:p w14:paraId="3A9D5233">
      <w:pPr>
        <w:tabs>
          <w:tab w:val="left" w:pos="8280"/>
        </w:tabs>
        <w:autoSpaceDE w:val="0"/>
        <w:autoSpaceDN w:val="0"/>
        <w:snapToGrid w:val="0"/>
        <w:spacing w:line="700" w:lineRule="exact"/>
        <w:jc w:val="center"/>
        <w:rPr>
          <w:rFonts w:eastAsia="方正小标宋简体"/>
          <w:sz w:val="44"/>
          <w:szCs w:val="44"/>
        </w:rPr>
      </w:pPr>
      <w:r>
        <w:rPr>
          <w:rFonts w:hint="eastAsia" w:eastAsia="方正小标宋简体"/>
          <w:sz w:val="44"/>
          <w:szCs w:val="44"/>
        </w:rPr>
        <w:t>沙县集中式饮用水水源地</w:t>
      </w:r>
    </w:p>
    <w:p w14:paraId="1F3A89ED">
      <w:pPr>
        <w:tabs>
          <w:tab w:val="left" w:pos="8280"/>
        </w:tabs>
        <w:autoSpaceDE w:val="0"/>
        <w:autoSpaceDN w:val="0"/>
        <w:snapToGrid w:val="0"/>
        <w:spacing w:line="700" w:lineRule="exact"/>
        <w:jc w:val="center"/>
        <w:rPr>
          <w:rFonts w:eastAsia="方正小标宋简体"/>
          <w:sz w:val="44"/>
          <w:szCs w:val="44"/>
        </w:rPr>
      </w:pPr>
      <w:r>
        <w:rPr>
          <w:rFonts w:hint="eastAsia" w:eastAsia="方正小标宋简体"/>
          <w:sz w:val="44"/>
          <w:szCs w:val="44"/>
        </w:rPr>
        <w:t>突发环境事件应急预案</w:t>
      </w:r>
    </w:p>
    <w:p w14:paraId="6B330820">
      <w:pPr>
        <w:autoSpaceDE w:val="0"/>
        <w:autoSpaceDN w:val="0"/>
        <w:spacing w:line="360" w:lineRule="auto"/>
        <w:rPr>
          <w:rFonts w:ascii="宋体" w:hAnsi="宋体"/>
          <w:b/>
          <w:sz w:val="36"/>
          <w:szCs w:val="36"/>
        </w:rPr>
      </w:pPr>
      <w:r>
        <w:rPr>
          <w:rFonts w:ascii="宋体" w:hAnsi="宋体"/>
          <w:b/>
          <w:sz w:val="36"/>
          <w:szCs w:val="36"/>
        </w:rPr>
        <w:t xml:space="preserve">  </w:t>
      </w:r>
    </w:p>
    <w:p w14:paraId="2666B250">
      <w:pPr>
        <w:autoSpaceDE w:val="0"/>
        <w:autoSpaceDN w:val="0"/>
        <w:spacing w:line="360" w:lineRule="auto"/>
        <w:ind w:right="600"/>
        <w:rPr>
          <w:rFonts w:ascii="宋体" w:hAnsi="宋体"/>
          <w:b/>
          <w:sz w:val="36"/>
          <w:szCs w:val="36"/>
        </w:rPr>
      </w:pPr>
    </w:p>
    <w:p w14:paraId="27F17947">
      <w:pPr>
        <w:autoSpaceDE w:val="0"/>
        <w:autoSpaceDN w:val="0"/>
        <w:spacing w:line="360" w:lineRule="auto"/>
        <w:ind w:right="600"/>
        <w:rPr>
          <w:rFonts w:ascii="宋体" w:hAnsi="宋体"/>
          <w:b/>
          <w:sz w:val="36"/>
          <w:szCs w:val="36"/>
        </w:rPr>
      </w:pPr>
    </w:p>
    <w:p w14:paraId="5E628CB5">
      <w:pPr>
        <w:autoSpaceDE w:val="0"/>
        <w:autoSpaceDN w:val="0"/>
        <w:spacing w:line="360" w:lineRule="auto"/>
        <w:ind w:right="600"/>
        <w:rPr>
          <w:rFonts w:ascii="宋体" w:hAnsi="宋体"/>
          <w:b/>
          <w:sz w:val="36"/>
          <w:szCs w:val="36"/>
        </w:rPr>
      </w:pPr>
    </w:p>
    <w:p w14:paraId="496B936C">
      <w:pPr>
        <w:autoSpaceDE w:val="0"/>
        <w:autoSpaceDN w:val="0"/>
        <w:spacing w:line="360" w:lineRule="auto"/>
        <w:ind w:right="600"/>
        <w:rPr>
          <w:rFonts w:ascii="宋体" w:hAnsi="宋体"/>
          <w:b/>
          <w:sz w:val="36"/>
          <w:szCs w:val="36"/>
        </w:rPr>
      </w:pPr>
    </w:p>
    <w:p w14:paraId="2A2280AB">
      <w:pPr>
        <w:autoSpaceDE w:val="0"/>
        <w:autoSpaceDN w:val="0"/>
        <w:spacing w:line="360" w:lineRule="auto"/>
        <w:ind w:right="600"/>
        <w:rPr>
          <w:rFonts w:hint="eastAsia" w:ascii="宋体" w:hAnsi="宋体"/>
          <w:b/>
          <w:sz w:val="36"/>
          <w:szCs w:val="36"/>
        </w:rPr>
      </w:pPr>
    </w:p>
    <w:p w14:paraId="05239938">
      <w:pPr>
        <w:autoSpaceDE w:val="0"/>
        <w:autoSpaceDN w:val="0"/>
        <w:spacing w:line="360" w:lineRule="auto"/>
        <w:ind w:right="600"/>
        <w:rPr>
          <w:rFonts w:hint="eastAsia" w:ascii="宋体" w:hAnsi="宋体"/>
          <w:b/>
          <w:sz w:val="36"/>
          <w:szCs w:val="36"/>
        </w:rPr>
      </w:pPr>
    </w:p>
    <w:p w14:paraId="0B505E67">
      <w:pPr>
        <w:autoSpaceDE w:val="0"/>
        <w:autoSpaceDN w:val="0"/>
        <w:spacing w:line="360" w:lineRule="auto"/>
        <w:ind w:right="600"/>
        <w:rPr>
          <w:rFonts w:hint="eastAsia" w:ascii="宋体" w:hAnsi="宋体"/>
          <w:b/>
          <w:sz w:val="36"/>
          <w:szCs w:val="36"/>
        </w:rPr>
      </w:pPr>
    </w:p>
    <w:p w14:paraId="0D89781B">
      <w:pPr>
        <w:autoSpaceDE w:val="0"/>
        <w:autoSpaceDN w:val="0"/>
        <w:spacing w:line="360" w:lineRule="auto"/>
        <w:ind w:right="600"/>
        <w:rPr>
          <w:rFonts w:hint="eastAsia" w:ascii="宋体" w:hAnsi="宋体"/>
          <w:b/>
          <w:sz w:val="36"/>
          <w:szCs w:val="36"/>
        </w:rPr>
      </w:pPr>
    </w:p>
    <w:p w14:paraId="30920A23">
      <w:pPr>
        <w:autoSpaceDE w:val="0"/>
        <w:autoSpaceDN w:val="0"/>
        <w:spacing w:line="360" w:lineRule="auto"/>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编制单位   沙县人民政府</w:t>
      </w:r>
    </w:p>
    <w:p w14:paraId="7501A9DE">
      <w:pPr>
        <w:spacing w:line="520" w:lineRule="exact"/>
        <w:rPr>
          <w:rFonts w:ascii="宋体" w:hAnsi="宋体"/>
          <w:b/>
          <w:sz w:val="36"/>
          <w:szCs w:val="36"/>
        </w:rPr>
      </w:pPr>
    </w:p>
    <w:p w14:paraId="28A23598">
      <w:pPr>
        <w:pStyle w:val="2"/>
        <w:spacing w:before="0" w:after="0" w:line="580" w:lineRule="exact"/>
        <w:jc w:val="center"/>
        <w:rPr>
          <w:rFonts w:hint="eastAsia" w:ascii="方正小标宋简体" w:eastAsia="方正小标宋简体"/>
          <w:b w:val="0"/>
        </w:rPr>
      </w:pPr>
      <w:r>
        <w:rPr>
          <w:rFonts w:ascii="宋体" w:hAnsi="宋体"/>
          <w:b w:val="0"/>
          <w:sz w:val="28"/>
          <w:szCs w:val="28"/>
        </w:rPr>
        <w:t xml:space="preserve"> </w:t>
      </w:r>
      <w:bookmarkStart w:id="0" w:name="_Toc375899810"/>
      <w:bookmarkStart w:id="1" w:name="_Toc393274634"/>
      <w:r>
        <w:rPr>
          <w:rFonts w:hint="eastAsia" w:ascii="方正小标宋简体" w:eastAsia="方正小标宋简体"/>
          <w:b w:val="0"/>
        </w:rPr>
        <w:t>沙县集中式饮用水水源地突发环境事件</w:t>
      </w:r>
    </w:p>
    <w:p w14:paraId="7D721D1D">
      <w:pPr>
        <w:pStyle w:val="2"/>
        <w:spacing w:before="0" w:after="0" w:line="580" w:lineRule="exact"/>
        <w:jc w:val="center"/>
        <w:rPr>
          <w:rFonts w:hint="eastAsia" w:ascii="方正小标宋简体" w:eastAsia="方正小标宋简体"/>
          <w:b w:val="0"/>
        </w:rPr>
      </w:pPr>
      <w:r>
        <w:rPr>
          <w:rFonts w:hint="eastAsia" w:ascii="方正小标宋简体" w:eastAsia="方正小标宋简体"/>
          <w:b w:val="0"/>
        </w:rPr>
        <w:t>应急预案</w:t>
      </w:r>
    </w:p>
    <w:p w14:paraId="7FCEB1B3">
      <w:pPr>
        <w:pStyle w:val="2"/>
        <w:spacing w:before="0" w:after="0" w:line="580" w:lineRule="exact"/>
        <w:ind w:firstLine="562"/>
        <w:rPr>
          <w:rFonts w:hint="eastAsia" w:eastAsia="方正仿宋简体"/>
          <w:sz w:val="32"/>
          <w:szCs w:val="32"/>
        </w:rPr>
      </w:pPr>
    </w:p>
    <w:p w14:paraId="27D4E7CC">
      <w:pPr>
        <w:pStyle w:val="2"/>
        <w:spacing w:before="0" w:after="0" w:line="580" w:lineRule="exact"/>
        <w:ind w:firstLine="632" w:firstLineChars="200"/>
        <w:rPr>
          <w:rFonts w:eastAsia="方正黑体简体"/>
          <w:b w:val="0"/>
          <w:sz w:val="32"/>
          <w:szCs w:val="32"/>
        </w:rPr>
      </w:pPr>
      <w:r>
        <w:rPr>
          <w:rFonts w:eastAsia="方正黑体简体"/>
          <w:b w:val="0"/>
          <w:sz w:val="32"/>
          <w:szCs w:val="32"/>
        </w:rPr>
        <w:t>1  总则</w:t>
      </w:r>
      <w:bookmarkEnd w:id="0"/>
      <w:bookmarkEnd w:id="1"/>
    </w:p>
    <w:p w14:paraId="113A4A1F">
      <w:pPr>
        <w:pStyle w:val="3"/>
        <w:spacing w:before="0" w:after="0" w:line="580" w:lineRule="exact"/>
        <w:ind w:firstLine="632" w:firstLineChars="200"/>
        <w:rPr>
          <w:rFonts w:ascii="Times New Roman" w:hAnsi="Times New Roman" w:eastAsia="方正楷体简体"/>
          <w:b w:val="0"/>
        </w:rPr>
      </w:pPr>
      <w:bookmarkStart w:id="2" w:name="_Toc375899811"/>
      <w:bookmarkStart w:id="3" w:name="_Toc393274635"/>
      <w:r>
        <w:rPr>
          <w:rFonts w:ascii="Times New Roman" w:hAnsi="Times New Roman" w:eastAsia="方正楷体简体"/>
          <w:b w:val="0"/>
        </w:rPr>
        <w:t>1.1 编制目的</w:t>
      </w:r>
      <w:bookmarkEnd w:id="2"/>
      <w:bookmarkEnd w:id="3"/>
    </w:p>
    <w:p w14:paraId="2F9FB64E">
      <w:pPr>
        <w:spacing w:line="580" w:lineRule="exact"/>
        <w:ind w:firstLine="632" w:firstLineChars="200"/>
        <w:rPr>
          <w:rFonts w:eastAsia="方正仿宋简体"/>
          <w:sz w:val="32"/>
          <w:szCs w:val="32"/>
        </w:rPr>
      </w:pPr>
      <w:r>
        <w:rPr>
          <w:rFonts w:eastAsia="方正仿宋简体"/>
          <w:sz w:val="32"/>
          <w:szCs w:val="32"/>
        </w:rPr>
        <w:t>为切实做好沙县集中式饮用水源污染防治工作，确保供水安全，建立健全应对集中式饮用水源突发环境污染事件的应急机制，进一步提高应对饮用水源突发环境事件的能力，及时有效地处理对饮用水源构成威胁或造成污染的各类突发环境事件，减轻事故造成的危害，保障公众生命安全，维护社会稳定，根据沙政办〔2017〕18号文，特修订本预案。</w:t>
      </w:r>
    </w:p>
    <w:p w14:paraId="75446460">
      <w:pPr>
        <w:pStyle w:val="3"/>
        <w:spacing w:before="0" w:after="0" w:line="580" w:lineRule="exact"/>
        <w:ind w:firstLine="632" w:firstLineChars="200"/>
        <w:rPr>
          <w:rFonts w:ascii="Times New Roman" w:hAnsi="Times New Roman" w:eastAsia="方正楷体简体"/>
          <w:b w:val="0"/>
        </w:rPr>
      </w:pPr>
      <w:bookmarkStart w:id="4" w:name="_Toc393274636"/>
      <w:bookmarkStart w:id="5" w:name="_Toc375899812"/>
      <w:r>
        <w:rPr>
          <w:rFonts w:ascii="Times New Roman" w:hAnsi="Times New Roman" w:eastAsia="方正楷体简体"/>
          <w:b w:val="0"/>
        </w:rPr>
        <w:t>1.2 编制依据</w:t>
      </w:r>
      <w:bookmarkEnd w:id="4"/>
      <w:bookmarkEnd w:id="5"/>
    </w:p>
    <w:p w14:paraId="04E4A8D3">
      <w:pPr>
        <w:spacing w:line="580" w:lineRule="exact"/>
        <w:ind w:firstLine="632" w:firstLineChars="200"/>
        <w:rPr>
          <w:rFonts w:eastAsia="方正仿宋简体"/>
          <w:sz w:val="32"/>
          <w:szCs w:val="32"/>
        </w:rPr>
      </w:pPr>
      <w:r>
        <w:rPr>
          <w:rFonts w:eastAsia="方正仿宋简体"/>
          <w:sz w:val="32"/>
          <w:szCs w:val="32"/>
        </w:rPr>
        <w:t>⑴《中华人民共和国环境保护法》</w:t>
      </w:r>
    </w:p>
    <w:p w14:paraId="29FCC5B8">
      <w:pPr>
        <w:spacing w:line="580" w:lineRule="exact"/>
        <w:ind w:firstLine="632" w:firstLineChars="200"/>
        <w:rPr>
          <w:rFonts w:eastAsia="方正仿宋简体"/>
          <w:sz w:val="32"/>
          <w:szCs w:val="32"/>
        </w:rPr>
      </w:pPr>
      <w:r>
        <w:rPr>
          <w:rFonts w:eastAsia="方正仿宋简体"/>
          <w:sz w:val="32"/>
          <w:szCs w:val="32"/>
        </w:rPr>
        <w:t>⑵《中华人民共和国突发事件应对法》</w:t>
      </w:r>
    </w:p>
    <w:p w14:paraId="476B7CDC">
      <w:pPr>
        <w:spacing w:line="580" w:lineRule="exact"/>
        <w:ind w:firstLine="632" w:firstLineChars="200"/>
        <w:rPr>
          <w:rFonts w:eastAsia="方正仿宋简体"/>
          <w:sz w:val="32"/>
          <w:szCs w:val="32"/>
        </w:rPr>
      </w:pPr>
      <w:r>
        <w:rPr>
          <w:rFonts w:eastAsia="方正仿宋简体"/>
          <w:sz w:val="32"/>
          <w:szCs w:val="32"/>
        </w:rPr>
        <w:t>⑶《中华人民共和国水污染防治法》</w:t>
      </w:r>
    </w:p>
    <w:p w14:paraId="42140957">
      <w:pPr>
        <w:spacing w:line="580" w:lineRule="exact"/>
        <w:ind w:firstLine="632" w:firstLineChars="200"/>
        <w:rPr>
          <w:rFonts w:eastAsia="方正仿宋简体"/>
          <w:sz w:val="32"/>
          <w:szCs w:val="32"/>
        </w:rPr>
      </w:pPr>
      <w:r>
        <w:rPr>
          <w:rFonts w:eastAsia="方正仿宋简体"/>
          <w:sz w:val="32"/>
          <w:szCs w:val="32"/>
        </w:rPr>
        <w:t>⑷《国家突发环境事件应急预案》</w:t>
      </w:r>
    </w:p>
    <w:p w14:paraId="3E879DE0">
      <w:pPr>
        <w:spacing w:line="580" w:lineRule="exact"/>
        <w:ind w:firstLine="632" w:firstLineChars="200"/>
        <w:rPr>
          <w:rFonts w:hint="eastAsia" w:eastAsia="方正仿宋简体"/>
          <w:sz w:val="32"/>
          <w:szCs w:val="32"/>
          <w:lang w:eastAsia="zh-CN"/>
        </w:rPr>
      </w:pPr>
      <w:r>
        <w:rPr>
          <w:rFonts w:eastAsia="方正仿宋简体"/>
          <w:sz w:val="32"/>
          <w:szCs w:val="32"/>
        </w:rPr>
        <w:t>⑸</w:t>
      </w:r>
      <w:r>
        <w:rPr>
          <w:rFonts w:hint="eastAsia" w:eastAsia="方正仿宋简体"/>
          <w:sz w:val="32"/>
          <w:szCs w:val="32"/>
          <w:lang w:eastAsia="zh-CN"/>
        </w:rPr>
        <w:t>《国家突发事件总体应急预案》</w:t>
      </w:r>
    </w:p>
    <w:p w14:paraId="24EC88B2">
      <w:pPr>
        <w:spacing w:line="580" w:lineRule="exact"/>
        <w:ind w:firstLine="632" w:firstLineChars="200"/>
        <w:rPr>
          <w:rFonts w:eastAsia="方正仿宋简体"/>
          <w:sz w:val="32"/>
          <w:szCs w:val="32"/>
        </w:rPr>
      </w:pPr>
      <w:r>
        <w:rPr>
          <w:rFonts w:eastAsia="方正仿宋简体"/>
          <w:sz w:val="32"/>
          <w:szCs w:val="32"/>
        </w:rPr>
        <w:t>⑹《突发环境事件信息报告办法》</w:t>
      </w:r>
    </w:p>
    <w:p w14:paraId="614B97F0">
      <w:pPr>
        <w:spacing w:line="580" w:lineRule="exact"/>
        <w:ind w:firstLine="632" w:firstLineChars="200"/>
        <w:rPr>
          <w:rFonts w:eastAsia="方正仿宋简体"/>
          <w:sz w:val="32"/>
          <w:szCs w:val="32"/>
        </w:rPr>
      </w:pPr>
      <w:r>
        <w:rPr>
          <w:rFonts w:eastAsia="方正仿宋简体"/>
          <w:sz w:val="32"/>
          <w:szCs w:val="32"/>
        </w:rPr>
        <w:t>⑺《突发环境事件应急预案暂行管理办法》</w:t>
      </w:r>
    </w:p>
    <w:p w14:paraId="416240CF">
      <w:pPr>
        <w:spacing w:line="580" w:lineRule="exact"/>
        <w:ind w:firstLine="632" w:firstLineChars="200"/>
        <w:rPr>
          <w:rFonts w:eastAsia="方正仿宋简体"/>
          <w:sz w:val="32"/>
          <w:szCs w:val="32"/>
        </w:rPr>
      </w:pPr>
      <w:r>
        <w:rPr>
          <w:rFonts w:eastAsia="方正仿宋简体"/>
          <w:sz w:val="32"/>
          <w:szCs w:val="32"/>
        </w:rPr>
        <w:t>⑻《集中式地表水饮用水水源地突发环境事件应急预案编制指南（试行）》</w:t>
      </w:r>
    </w:p>
    <w:p w14:paraId="62CF8F0B">
      <w:pPr>
        <w:spacing w:line="580" w:lineRule="exact"/>
        <w:ind w:firstLine="632" w:firstLineChars="200"/>
        <w:rPr>
          <w:rFonts w:eastAsia="方正仿宋简体"/>
          <w:sz w:val="32"/>
          <w:szCs w:val="32"/>
        </w:rPr>
      </w:pPr>
      <w:r>
        <w:rPr>
          <w:rFonts w:hint="eastAsia" w:ascii="宋体" w:hAnsi="宋体" w:cs="宋体"/>
          <w:sz w:val="32"/>
          <w:szCs w:val="32"/>
        </w:rPr>
        <w:t>⑼</w:t>
      </w:r>
      <w:r>
        <w:rPr>
          <w:rFonts w:eastAsia="方正仿宋简体"/>
          <w:sz w:val="32"/>
          <w:szCs w:val="32"/>
        </w:rPr>
        <w:t>《福建省突发环境事件应急预案》</w:t>
      </w:r>
    </w:p>
    <w:p w14:paraId="4403288C">
      <w:pPr>
        <w:spacing w:line="580" w:lineRule="exact"/>
        <w:ind w:firstLine="632" w:firstLineChars="200"/>
        <w:rPr>
          <w:rFonts w:eastAsia="方正仿宋简体"/>
          <w:sz w:val="32"/>
          <w:szCs w:val="32"/>
        </w:rPr>
      </w:pPr>
      <w:r>
        <w:rPr>
          <w:rFonts w:hint="eastAsia" w:ascii="宋体" w:hAnsi="宋体" w:cs="宋体"/>
          <w:sz w:val="32"/>
          <w:szCs w:val="32"/>
        </w:rPr>
        <w:t>⑽</w:t>
      </w:r>
      <w:r>
        <w:rPr>
          <w:rFonts w:eastAsia="方正仿宋简体"/>
          <w:sz w:val="32"/>
          <w:szCs w:val="32"/>
        </w:rPr>
        <w:t>《福建省人民政府突发公共事件总体应急预案》</w:t>
      </w:r>
    </w:p>
    <w:p w14:paraId="39FA222A">
      <w:pPr>
        <w:spacing w:line="580" w:lineRule="exact"/>
        <w:ind w:firstLine="632" w:firstLineChars="200"/>
        <w:rPr>
          <w:rFonts w:eastAsia="方正仿宋简体"/>
          <w:sz w:val="32"/>
          <w:szCs w:val="32"/>
        </w:rPr>
      </w:pPr>
      <w:r>
        <w:rPr>
          <w:rFonts w:eastAsia="方正仿宋简体"/>
          <w:sz w:val="32"/>
          <w:szCs w:val="32"/>
        </w:rPr>
        <w:t>⑾《福建省环保厅关于规范突发环境事件应急预案管理工作的通知》</w:t>
      </w:r>
    </w:p>
    <w:p w14:paraId="1C9A8BC4">
      <w:pPr>
        <w:spacing w:line="580" w:lineRule="exact"/>
        <w:ind w:firstLine="632" w:firstLineChars="200"/>
        <w:rPr>
          <w:rFonts w:eastAsia="方正仿宋简体"/>
          <w:sz w:val="32"/>
          <w:szCs w:val="32"/>
        </w:rPr>
      </w:pPr>
      <w:r>
        <w:rPr>
          <w:rFonts w:eastAsia="方正仿宋简体"/>
          <w:sz w:val="32"/>
          <w:szCs w:val="32"/>
        </w:rPr>
        <w:t>⑿《三明市突发公共事件总体应急预案》</w:t>
      </w:r>
    </w:p>
    <w:p w14:paraId="260EDD33">
      <w:pPr>
        <w:spacing w:line="580" w:lineRule="exact"/>
        <w:ind w:firstLine="632" w:firstLineChars="200"/>
        <w:rPr>
          <w:rFonts w:eastAsia="方正仿宋简体"/>
          <w:sz w:val="32"/>
          <w:szCs w:val="32"/>
        </w:rPr>
      </w:pPr>
      <w:r>
        <w:rPr>
          <w:rFonts w:eastAsia="方正仿宋简体"/>
          <w:sz w:val="32"/>
          <w:szCs w:val="32"/>
        </w:rPr>
        <w:t>⒀《三明市突发环境事件应急预案》</w:t>
      </w:r>
    </w:p>
    <w:p w14:paraId="478DFDDA">
      <w:pPr>
        <w:spacing w:line="580" w:lineRule="exact"/>
        <w:ind w:firstLine="632" w:firstLineChars="200"/>
        <w:rPr>
          <w:rFonts w:eastAsia="方正仿宋简体"/>
          <w:sz w:val="32"/>
          <w:szCs w:val="32"/>
        </w:rPr>
      </w:pPr>
      <w:r>
        <w:rPr>
          <w:rFonts w:eastAsia="方正仿宋简体"/>
          <w:sz w:val="32"/>
          <w:szCs w:val="32"/>
        </w:rPr>
        <w:t>⒁《沙县突发公共事件总体应急预案》</w:t>
      </w:r>
    </w:p>
    <w:p w14:paraId="6CB37495">
      <w:pPr>
        <w:spacing w:line="580" w:lineRule="exact"/>
        <w:ind w:firstLine="632" w:firstLineChars="200"/>
        <w:rPr>
          <w:rFonts w:eastAsia="方正仿宋简体"/>
          <w:sz w:val="32"/>
          <w:szCs w:val="32"/>
        </w:rPr>
      </w:pPr>
      <w:r>
        <w:rPr>
          <w:rFonts w:eastAsia="方正仿宋简体"/>
          <w:sz w:val="32"/>
          <w:szCs w:val="32"/>
        </w:rPr>
        <w:t>⒂《沙县突发环境事件应急预案》</w:t>
      </w:r>
    </w:p>
    <w:p w14:paraId="6AB73D64">
      <w:pPr>
        <w:spacing w:line="580" w:lineRule="exact"/>
        <w:ind w:firstLine="632" w:firstLineChars="200"/>
        <w:rPr>
          <w:rFonts w:eastAsia="方正仿宋简体"/>
          <w:sz w:val="32"/>
          <w:szCs w:val="32"/>
        </w:rPr>
      </w:pPr>
      <w:r>
        <w:rPr>
          <w:rFonts w:eastAsia="方正仿宋简体"/>
          <w:sz w:val="32"/>
          <w:szCs w:val="32"/>
        </w:rPr>
        <w:t>⒃《沙县环境保护局突发环境事件应急预案》</w:t>
      </w:r>
    </w:p>
    <w:p w14:paraId="298BC241">
      <w:pPr>
        <w:spacing w:line="580" w:lineRule="exact"/>
        <w:ind w:firstLine="632" w:firstLineChars="200"/>
        <w:rPr>
          <w:rFonts w:eastAsia="方正仿宋简体"/>
          <w:sz w:val="32"/>
          <w:szCs w:val="32"/>
        </w:rPr>
      </w:pPr>
      <w:r>
        <w:rPr>
          <w:rFonts w:eastAsia="方正仿宋简体"/>
          <w:sz w:val="32"/>
          <w:szCs w:val="32"/>
        </w:rPr>
        <w:t>⒄《突发环境事件应急监测技术规范》</w:t>
      </w:r>
      <w:r>
        <w:rPr>
          <w:rFonts w:hint="eastAsia" w:eastAsia="方正仿宋简体"/>
          <w:sz w:val="32"/>
          <w:szCs w:val="32"/>
        </w:rPr>
        <w:t>(</w:t>
      </w:r>
      <w:r>
        <w:rPr>
          <w:rFonts w:eastAsia="方正仿宋简体"/>
          <w:sz w:val="32"/>
          <w:szCs w:val="32"/>
        </w:rPr>
        <w:t>HJ589-2010</w:t>
      </w:r>
      <w:r>
        <w:rPr>
          <w:rFonts w:hint="eastAsia" w:eastAsia="方正仿宋简体"/>
          <w:sz w:val="32"/>
          <w:szCs w:val="32"/>
        </w:rPr>
        <w:t>)</w:t>
      </w:r>
    </w:p>
    <w:p w14:paraId="0B770E85">
      <w:pPr>
        <w:spacing w:line="580" w:lineRule="exact"/>
        <w:ind w:firstLine="632" w:firstLineChars="200"/>
        <w:rPr>
          <w:rFonts w:eastAsia="方正仿宋简体"/>
          <w:sz w:val="32"/>
          <w:szCs w:val="32"/>
        </w:rPr>
      </w:pPr>
      <w:r>
        <w:rPr>
          <w:rFonts w:eastAsia="方正仿宋简体"/>
          <w:sz w:val="32"/>
          <w:szCs w:val="32"/>
        </w:rPr>
        <w:t>⒅关于沙县饮用水源区区划方案的批复</w:t>
      </w:r>
    </w:p>
    <w:p w14:paraId="5449013E">
      <w:pPr>
        <w:spacing w:line="580" w:lineRule="exact"/>
        <w:ind w:firstLine="632" w:firstLineChars="200"/>
        <w:rPr>
          <w:rFonts w:eastAsia="方正仿宋简体"/>
          <w:sz w:val="32"/>
          <w:szCs w:val="32"/>
        </w:rPr>
      </w:pPr>
      <w:r>
        <w:rPr>
          <w:rFonts w:eastAsia="方正仿宋简体"/>
          <w:sz w:val="32"/>
          <w:szCs w:val="32"/>
        </w:rPr>
        <w:t>⒆</w:t>
      </w:r>
      <w:r>
        <w:rPr>
          <w:rFonts w:hint="eastAsia" w:eastAsia="方正仿宋简体"/>
          <w:sz w:val="32"/>
          <w:szCs w:val="32"/>
          <w:lang w:eastAsia="zh-CN"/>
        </w:rPr>
        <w:t>其他</w:t>
      </w:r>
      <w:r>
        <w:rPr>
          <w:rFonts w:eastAsia="方正仿宋简体"/>
          <w:sz w:val="32"/>
          <w:szCs w:val="32"/>
        </w:rPr>
        <w:t>相关法律法规</w:t>
      </w:r>
    </w:p>
    <w:p w14:paraId="4FF0864A">
      <w:pPr>
        <w:pStyle w:val="3"/>
        <w:spacing w:before="0" w:after="0" w:line="580" w:lineRule="exact"/>
        <w:ind w:firstLine="632" w:firstLineChars="200"/>
        <w:rPr>
          <w:rFonts w:ascii="Times New Roman" w:hAnsi="Times New Roman" w:eastAsia="方正楷体简体"/>
          <w:b w:val="0"/>
        </w:rPr>
      </w:pPr>
      <w:bookmarkStart w:id="6" w:name="_Toc375899813"/>
      <w:bookmarkStart w:id="7" w:name="_Toc393274637"/>
      <w:r>
        <w:rPr>
          <w:rFonts w:ascii="Times New Roman" w:hAnsi="Times New Roman" w:eastAsia="方正楷体简体"/>
          <w:b w:val="0"/>
        </w:rPr>
        <w:t xml:space="preserve">1.3 </w:t>
      </w:r>
      <w:bookmarkEnd w:id="6"/>
      <w:bookmarkStart w:id="8" w:name="_Toc375899816"/>
      <w:r>
        <w:rPr>
          <w:rFonts w:ascii="Times New Roman" w:hAnsi="Times New Roman" w:eastAsia="方正楷体简体"/>
          <w:b w:val="0"/>
        </w:rPr>
        <w:t>适用范围</w:t>
      </w:r>
      <w:bookmarkEnd w:id="7"/>
    </w:p>
    <w:p w14:paraId="47FF1D26">
      <w:pPr>
        <w:spacing w:line="580" w:lineRule="exact"/>
        <w:ind w:firstLine="616" w:firstLineChars="200"/>
        <w:rPr>
          <w:rFonts w:eastAsia="方正仿宋简体"/>
          <w:spacing w:val="-4"/>
          <w:sz w:val="32"/>
          <w:szCs w:val="32"/>
        </w:rPr>
      </w:pPr>
      <w:r>
        <w:rPr>
          <w:rFonts w:eastAsia="方正仿宋简体"/>
          <w:spacing w:val="-4"/>
          <w:sz w:val="32"/>
          <w:szCs w:val="32"/>
        </w:rPr>
        <w:t>本预案适用于沙县城区集中式供水水源地——洞天岩水库、下村洋水库、马岩水库饮用水源保护区、双溪水库（在建）以及各乡（镇</w:t>
      </w:r>
      <w:r>
        <w:rPr>
          <w:rFonts w:hint="eastAsia" w:eastAsia="方正仿宋简体"/>
          <w:spacing w:val="-4"/>
          <w:sz w:val="32"/>
          <w:szCs w:val="32"/>
        </w:rPr>
        <w:t>、</w:t>
      </w:r>
      <w:r>
        <w:rPr>
          <w:rFonts w:eastAsia="方正仿宋简体"/>
          <w:spacing w:val="-4"/>
          <w:sz w:val="32"/>
          <w:szCs w:val="32"/>
        </w:rPr>
        <w:t>街道）集中式供水水源地，因发生流域性污染、危险化学品翻车、农村面源污染事故及</w:t>
      </w:r>
      <w:r>
        <w:rPr>
          <w:rFonts w:hint="eastAsia" w:eastAsia="方正仿宋简体"/>
          <w:spacing w:val="-4"/>
          <w:sz w:val="32"/>
          <w:szCs w:val="32"/>
          <w:lang w:eastAsia="zh-CN"/>
        </w:rPr>
        <w:t>其他</w:t>
      </w:r>
      <w:r>
        <w:rPr>
          <w:rFonts w:eastAsia="方正仿宋简体"/>
          <w:spacing w:val="-4"/>
          <w:sz w:val="32"/>
          <w:szCs w:val="32"/>
        </w:rPr>
        <w:t>环境污染事故造成集中式饮用水源地取水中断的突发事件的预警、控制和应急处置。</w:t>
      </w:r>
    </w:p>
    <w:p w14:paraId="600CD3CD">
      <w:pPr>
        <w:pStyle w:val="3"/>
        <w:spacing w:before="0" w:after="0" w:line="580" w:lineRule="exact"/>
        <w:ind w:firstLine="632" w:firstLineChars="200"/>
        <w:rPr>
          <w:rFonts w:ascii="Times New Roman" w:hAnsi="Times New Roman" w:eastAsia="方正楷体简体"/>
          <w:b w:val="0"/>
        </w:rPr>
      </w:pPr>
      <w:bookmarkStart w:id="9" w:name="_Toc393274638"/>
      <w:r>
        <w:rPr>
          <w:rFonts w:ascii="Times New Roman" w:hAnsi="Times New Roman" w:eastAsia="方正楷体简体"/>
          <w:b w:val="0"/>
        </w:rPr>
        <w:t>1.4</w:t>
      </w:r>
      <w:bookmarkEnd w:id="8"/>
      <w:r>
        <w:rPr>
          <w:rFonts w:ascii="Times New Roman" w:hAnsi="Times New Roman" w:eastAsia="方正楷体简体"/>
          <w:b w:val="0"/>
        </w:rPr>
        <w:t>事件分级</w:t>
      </w:r>
      <w:bookmarkEnd w:id="9"/>
    </w:p>
    <w:p w14:paraId="5581C1C8">
      <w:pPr>
        <w:spacing w:line="580" w:lineRule="exact"/>
        <w:ind w:firstLine="632" w:firstLineChars="200"/>
        <w:rPr>
          <w:rFonts w:eastAsia="方正仿宋简体"/>
          <w:sz w:val="32"/>
          <w:szCs w:val="32"/>
        </w:rPr>
      </w:pPr>
      <w:r>
        <w:rPr>
          <w:rFonts w:eastAsia="方正仿宋简体"/>
          <w:sz w:val="32"/>
          <w:szCs w:val="32"/>
        </w:rPr>
        <w:t>依据集中式饮用水源突发环境污染事件的严重性和紧急程度，结合我县实际，将集中式饮用水源突发环境污染事件分为特别重大集中式饮用水源突发环境污染事件（Ⅰ级）、重大集中式饮用水源突发污染事件（Ⅱ级）、较大集中式饮用水源突发环境污染事件（Ⅲ级）和一般集中式饮用水源突发环境污染事件（Ⅳ级）四级。</w:t>
      </w:r>
    </w:p>
    <w:p w14:paraId="63E90E1E">
      <w:pPr>
        <w:pStyle w:val="3"/>
        <w:spacing w:before="0" w:after="0" w:line="580" w:lineRule="exact"/>
        <w:ind w:firstLine="632" w:firstLineChars="200"/>
        <w:rPr>
          <w:rFonts w:hint="eastAsia" w:ascii="Times New Roman" w:hAnsi="Times New Roman" w:eastAsia="方正仿宋简体"/>
        </w:rPr>
      </w:pPr>
      <w:r>
        <w:rPr>
          <w:rFonts w:ascii="Times New Roman" w:hAnsi="Times New Roman" w:eastAsia="方正仿宋简体"/>
        </w:rPr>
        <w:t>1.4.1 特别重大环境事件</w:t>
      </w:r>
      <w:r>
        <w:rPr>
          <w:rFonts w:hint="eastAsia" w:ascii="Times New Roman" w:hAnsi="Times New Roman" w:eastAsia="方正仿宋简体"/>
        </w:rPr>
        <w:t>（</w:t>
      </w:r>
      <w:r>
        <w:rPr>
          <w:rFonts w:ascii="Times New Roman" w:hAnsi="Times New Roman" w:eastAsia="方正仿宋简体"/>
        </w:rPr>
        <w:t>Ⅰ级</w:t>
      </w:r>
      <w:r>
        <w:rPr>
          <w:rFonts w:hint="eastAsia" w:ascii="Times New Roman" w:hAnsi="Times New Roman" w:eastAsia="方正仿宋简体"/>
        </w:rPr>
        <w:t>）</w:t>
      </w:r>
    </w:p>
    <w:p w14:paraId="0743EA59">
      <w:pPr>
        <w:spacing w:line="580" w:lineRule="exact"/>
        <w:ind w:firstLine="632" w:firstLineChars="200"/>
        <w:rPr>
          <w:rFonts w:eastAsia="方正仿宋简体"/>
          <w:color w:val="000000"/>
        </w:rPr>
      </w:pPr>
      <w:r>
        <w:rPr>
          <w:rFonts w:eastAsia="方正仿宋简体"/>
          <w:sz w:val="32"/>
          <w:szCs w:val="32"/>
        </w:rPr>
        <w:t>发生饮用水源地流域性污染事件，导致城区自来水厂的生产或供水能力严重下降，造成80%以上用户无压、无水，且在24小时内无法恢复；饮用水源地水质严重恶化，失去饮用水源地水质功能；因发生危险化学品泄露等严重工业或交通事故，危险化学品流入水源地上游，已可预知将造成水源地水源严重污染，城区自来水厂必须提前关闭取水口。</w:t>
      </w:r>
    </w:p>
    <w:p w14:paraId="0A05F1BE">
      <w:pPr>
        <w:pStyle w:val="3"/>
        <w:spacing w:before="0" w:after="0" w:line="580" w:lineRule="exact"/>
        <w:ind w:firstLine="632" w:firstLineChars="200"/>
        <w:rPr>
          <w:rFonts w:hint="eastAsia" w:ascii="Times New Roman" w:hAnsi="Times New Roman" w:eastAsia="方正仿宋简体"/>
        </w:rPr>
      </w:pPr>
      <w:r>
        <w:rPr>
          <w:rFonts w:ascii="Times New Roman" w:hAnsi="Times New Roman" w:eastAsia="方正仿宋简体"/>
        </w:rPr>
        <w:t>1.4.2 重大环境事件</w:t>
      </w:r>
      <w:r>
        <w:rPr>
          <w:rFonts w:hint="eastAsia" w:ascii="Times New Roman" w:hAnsi="Times New Roman" w:eastAsia="方正仿宋简体"/>
        </w:rPr>
        <w:t>（</w:t>
      </w:r>
      <w:r>
        <w:rPr>
          <w:rFonts w:ascii="Times New Roman" w:hAnsi="Times New Roman" w:eastAsia="方正仿宋简体"/>
        </w:rPr>
        <w:t>Ⅱ级</w:t>
      </w:r>
      <w:r>
        <w:rPr>
          <w:rFonts w:hint="eastAsia" w:ascii="Times New Roman" w:hAnsi="Times New Roman" w:eastAsia="方正仿宋简体"/>
        </w:rPr>
        <w:t>）</w:t>
      </w:r>
    </w:p>
    <w:p w14:paraId="428E6F7F">
      <w:pPr>
        <w:spacing w:line="580" w:lineRule="exact"/>
        <w:ind w:firstLine="632" w:firstLineChars="200"/>
        <w:rPr>
          <w:rFonts w:eastAsia="方正仿宋简体"/>
          <w:color w:val="000000"/>
        </w:rPr>
      </w:pPr>
      <w:r>
        <w:rPr>
          <w:rFonts w:eastAsia="方正仿宋简体"/>
          <w:sz w:val="32"/>
          <w:szCs w:val="32"/>
        </w:rPr>
        <w:t>饮用水源地水质严重恶化，主要水质指标不能达到《地表水水环境质量标准》中Ⅴ类水质的要求；发生饮用水源地流域性污染事件，导致城区自来水厂的生产或供水能力严重下降，造成50%以上用户无压、无水，且在24小时内无法恢复。</w:t>
      </w:r>
    </w:p>
    <w:p w14:paraId="0BA52FFB">
      <w:pPr>
        <w:pStyle w:val="3"/>
        <w:spacing w:before="0" w:after="0" w:line="580" w:lineRule="exact"/>
        <w:ind w:firstLine="632" w:firstLineChars="200"/>
        <w:rPr>
          <w:rFonts w:hint="eastAsia" w:ascii="Times New Roman" w:hAnsi="Times New Roman" w:eastAsia="方正仿宋简体"/>
        </w:rPr>
      </w:pPr>
      <w:r>
        <w:rPr>
          <w:rFonts w:ascii="Times New Roman" w:hAnsi="Times New Roman" w:eastAsia="方正仿宋简体"/>
        </w:rPr>
        <w:t>1.4.3 较大环境事件</w:t>
      </w:r>
      <w:r>
        <w:rPr>
          <w:rFonts w:hint="eastAsia" w:ascii="Times New Roman" w:hAnsi="Times New Roman" w:eastAsia="方正仿宋简体"/>
        </w:rPr>
        <w:t>（</w:t>
      </w:r>
      <w:r>
        <w:rPr>
          <w:rFonts w:ascii="Times New Roman" w:hAnsi="Times New Roman" w:eastAsia="方正仿宋简体"/>
        </w:rPr>
        <w:t>Ⅲ级</w:t>
      </w:r>
      <w:r>
        <w:rPr>
          <w:rFonts w:hint="eastAsia" w:ascii="Times New Roman" w:hAnsi="Times New Roman" w:eastAsia="方正仿宋简体"/>
        </w:rPr>
        <w:t>）</w:t>
      </w:r>
    </w:p>
    <w:p w14:paraId="69A2484F">
      <w:pPr>
        <w:spacing w:line="580" w:lineRule="exact"/>
        <w:ind w:firstLine="632" w:firstLineChars="200"/>
        <w:rPr>
          <w:rFonts w:eastAsia="方正仿宋简体"/>
          <w:sz w:val="32"/>
          <w:szCs w:val="32"/>
        </w:rPr>
      </w:pPr>
      <w:r>
        <w:rPr>
          <w:rFonts w:eastAsia="方正仿宋简体"/>
          <w:sz w:val="32"/>
          <w:szCs w:val="32"/>
        </w:rPr>
        <w:t>饮用水源地水质严重恶化，主要水质指标不能达到《地表水水环境质量标准》中Ⅲ类水质的要求；发生饮用水源地区域性污染事件，导致城区自来水厂的生产或供水能力严重下降，造成30%以上用户无压、无水，且在24小时内无法恢复。</w:t>
      </w:r>
    </w:p>
    <w:p w14:paraId="032D81CC">
      <w:pPr>
        <w:pStyle w:val="3"/>
        <w:spacing w:before="0" w:after="0" w:line="580" w:lineRule="exact"/>
        <w:ind w:firstLine="632" w:firstLineChars="200"/>
        <w:rPr>
          <w:rFonts w:hint="eastAsia" w:ascii="Times New Roman" w:hAnsi="Times New Roman" w:eastAsia="方正仿宋简体"/>
        </w:rPr>
      </w:pPr>
      <w:r>
        <w:rPr>
          <w:rFonts w:ascii="Times New Roman" w:hAnsi="Times New Roman" w:eastAsia="方正仿宋简体"/>
        </w:rPr>
        <w:t>1.4.4 一般环境事件</w:t>
      </w:r>
      <w:r>
        <w:rPr>
          <w:rFonts w:hint="eastAsia" w:ascii="Times New Roman" w:hAnsi="Times New Roman" w:eastAsia="方正仿宋简体"/>
        </w:rPr>
        <w:t>（</w:t>
      </w:r>
      <w:r>
        <w:rPr>
          <w:rFonts w:ascii="Times New Roman" w:hAnsi="Times New Roman" w:eastAsia="方正仿宋简体"/>
        </w:rPr>
        <w:t>Ⅳ级</w:t>
      </w:r>
      <w:r>
        <w:rPr>
          <w:rFonts w:hint="eastAsia" w:ascii="Times New Roman" w:hAnsi="Times New Roman" w:eastAsia="方正仿宋简体"/>
        </w:rPr>
        <w:t>）</w:t>
      </w:r>
    </w:p>
    <w:p w14:paraId="079F419C">
      <w:pPr>
        <w:spacing w:line="580" w:lineRule="exact"/>
        <w:ind w:firstLine="632" w:firstLineChars="200"/>
        <w:rPr>
          <w:rFonts w:hint="eastAsia" w:eastAsia="方正仿宋简体"/>
          <w:sz w:val="32"/>
          <w:szCs w:val="32"/>
        </w:rPr>
      </w:pPr>
      <w:r>
        <w:rPr>
          <w:rFonts w:eastAsia="方正仿宋简体"/>
          <w:sz w:val="32"/>
          <w:szCs w:val="32"/>
        </w:rPr>
        <w:t>饮用水源地水质产生异常，饮用水源地部分次要水质指标达不到《地表水水环境质量标准》中Ⅲ类水质的要求；因环境污染问题，造成城区自来水厂的生产或供水能力严重下降，局部片区无压、无水，且在24小时内无法恢复。</w:t>
      </w:r>
      <w:bookmarkStart w:id="10" w:name="_Toc375899817"/>
      <w:bookmarkStart w:id="11" w:name="_Toc393274639"/>
    </w:p>
    <w:p w14:paraId="4ED12845">
      <w:pPr>
        <w:spacing w:line="580" w:lineRule="exact"/>
        <w:ind w:firstLine="632" w:firstLineChars="200"/>
        <w:rPr>
          <w:rFonts w:eastAsia="方正仿宋简体"/>
          <w:color w:val="000000"/>
          <w:sz w:val="32"/>
          <w:szCs w:val="32"/>
        </w:rPr>
      </w:pPr>
      <w:r>
        <w:rPr>
          <w:rFonts w:eastAsia="方正楷体简体"/>
          <w:sz w:val="32"/>
          <w:szCs w:val="32"/>
        </w:rPr>
        <w:t>1.5 工作原则</w:t>
      </w:r>
      <w:bookmarkEnd w:id="10"/>
      <w:bookmarkEnd w:id="11"/>
    </w:p>
    <w:p w14:paraId="32C4AD06">
      <w:pPr>
        <w:pStyle w:val="3"/>
        <w:keepNext w:val="0"/>
        <w:keepLines w:val="0"/>
        <w:spacing w:before="0" w:after="0" w:line="580" w:lineRule="exact"/>
        <w:ind w:firstLine="632" w:firstLineChars="200"/>
        <w:rPr>
          <w:rFonts w:ascii="Times New Roman" w:hAnsi="Times New Roman" w:eastAsia="方正仿宋简体"/>
        </w:rPr>
      </w:pPr>
      <w:r>
        <w:rPr>
          <w:rFonts w:ascii="Times New Roman" w:hAnsi="Times New Roman" w:eastAsia="方正仿宋简体"/>
        </w:rPr>
        <w:t>1.5.1 以人为本，积极预防</w:t>
      </w:r>
    </w:p>
    <w:p w14:paraId="2B70904E">
      <w:pPr>
        <w:spacing w:line="580" w:lineRule="exact"/>
        <w:ind w:firstLine="632" w:firstLineChars="200"/>
        <w:rPr>
          <w:rFonts w:eastAsia="方正仿宋简体"/>
          <w:sz w:val="32"/>
          <w:szCs w:val="32"/>
        </w:rPr>
      </w:pPr>
      <w:r>
        <w:rPr>
          <w:rFonts w:eastAsia="方正仿宋简体"/>
          <w:sz w:val="32"/>
          <w:szCs w:val="32"/>
        </w:rPr>
        <w:t>加强对集中式饮用水源地的监测、监控并实施监督管理，建立集中式饮用水源突发污染事件风险防范体系，将应对突发事件的各项工作落实在日常管理之中，积极预防、及时控制、消除隐患，提高防范和处理突发事件的能力，尽可能地避免或减少突发事件的发生，消除或减轻突发事件造成的影响和损失，最大程度地保障公众供水安全。</w:t>
      </w:r>
    </w:p>
    <w:p w14:paraId="2B0DFDB4">
      <w:pPr>
        <w:pStyle w:val="3"/>
        <w:keepNext w:val="0"/>
        <w:keepLines w:val="0"/>
        <w:spacing w:before="0" w:after="0" w:line="580" w:lineRule="exact"/>
        <w:ind w:firstLine="632" w:firstLineChars="200"/>
        <w:rPr>
          <w:rFonts w:ascii="Times New Roman" w:hAnsi="Times New Roman" w:eastAsia="方正仿宋简体"/>
        </w:rPr>
      </w:pPr>
      <w:r>
        <w:rPr>
          <w:rFonts w:ascii="Times New Roman" w:hAnsi="Times New Roman" w:eastAsia="方正仿宋简体"/>
        </w:rPr>
        <w:t>1.5.2 统一领导，分类管理</w:t>
      </w:r>
    </w:p>
    <w:p w14:paraId="303C611D">
      <w:pPr>
        <w:spacing w:line="580" w:lineRule="exact"/>
        <w:ind w:firstLine="632" w:firstLineChars="200"/>
        <w:rPr>
          <w:rFonts w:eastAsia="方正仿宋简体"/>
          <w:sz w:val="32"/>
          <w:szCs w:val="32"/>
        </w:rPr>
      </w:pPr>
      <w:r>
        <w:rPr>
          <w:rFonts w:eastAsia="方正仿宋简体"/>
          <w:sz w:val="32"/>
          <w:szCs w:val="32"/>
        </w:rPr>
        <w:t>在县政府的统一领导下，针对不同原因所造成的突发环境事件的特点，实行分类管理，环保部门负责协调，相关部门各司其职。</w:t>
      </w:r>
    </w:p>
    <w:p w14:paraId="24E65BE1">
      <w:pPr>
        <w:pStyle w:val="3"/>
        <w:keepNext w:val="0"/>
        <w:keepLines w:val="0"/>
        <w:spacing w:before="0" w:after="0" w:line="580" w:lineRule="exact"/>
        <w:ind w:firstLine="632" w:firstLineChars="200"/>
        <w:rPr>
          <w:rFonts w:ascii="Times New Roman" w:hAnsi="Times New Roman" w:eastAsia="方正仿宋简体"/>
        </w:rPr>
      </w:pPr>
      <w:r>
        <w:rPr>
          <w:rFonts w:ascii="Times New Roman" w:hAnsi="Times New Roman" w:eastAsia="方正仿宋简体"/>
        </w:rPr>
        <w:t>1.5.3 属地为主，先期处置</w:t>
      </w:r>
    </w:p>
    <w:p w14:paraId="49B99C1F">
      <w:pPr>
        <w:autoSpaceDE w:val="0"/>
        <w:autoSpaceDN w:val="0"/>
        <w:spacing w:line="580" w:lineRule="exact"/>
        <w:ind w:firstLine="632" w:firstLineChars="200"/>
        <w:rPr>
          <w:rFonts w:eastAsia="方正仿宋简体"/>
          <w:sz w:val="32"/>
          <w:szCs w:val="32"/>
        </w:rPr>
      </w:pPr>
      <w:r>
        <w:rPr>
          <w:rFonts w:eastAsia="方正仿宋简体"/>
          <w:sz w:val="32"/>
          <w:szCs w:val="32"/>
        </w:rPr>
        <w:t>充分发挥饮用水源地所在乡（镇</w:t>
      </w:r>
      <w:r>
        <w:rPr>
          <w:rFonts w:hint="eastAsia" w:eastAsia="方正仿宋简体"/>
          <w:sz w:val="32"/>
          <w:szCs w:val="32"/>
        </w:rPr>
        <w:t>、</w:t>
      </w:r>
      <w:r>
        <w:rPr>
          <w:rFonts w:eastAsia="方正仿宋简体"/>
          <w:sz w:val="32"/>
          <w:szCs w:val="32"/>
        </w:rPr>
        <w:t>街道）职能作用，属地为主，发生突发环境事件时，饮用水源地所在乡（镇</w:t>
      </w:r>
      <w:r>
        <w:rPr>
          <w:rFonts w:hint="eastAsia" w:eastAsia="方正仿宋简体"/>
          <w:sz w:val="32"/>
          <w:szCs w:val="32"/>
        </w:rPr>
        <w:t>、</w:t>
      </w:r>
      <w:r>
        <w:rPr>
          <w:rFonts w:eastAsia="方正仿宋简体"/>
          <w:sz w:val="32"/>
          <w:szCs w:val="32"/>
        </w:rPr>
        <w:t>街道）应进行先期处置，控制事态、减轻后果，并及时报告县政府和县环保局。</w:t>
      </w:r>
    </w:p>
    <w:p w14:paraId="5EBF0CF1">
      <w:pPr>
        <w:pStyle w:val="3"/>
        <w:keepNext w:val="0"/>
        <w:keepLines w:val="0"/>
        <w:spacing w:before="0" w:after="0" w:line="580" w:lineRule="exact"/>
        <w:ind w:firstLine="632" w:firstLineChars="200"/>
        <w:rPr>
          <w:rFonts w:ascii="Times New Roman" w:hAnsi="Times New Roman" w:eastAsia="方正仿宋简体"/>
        </w:rPr>
      </w:pPr>
      <w:r>
        <w:rPr>
          <w:rFonts w:ascii="Times New Roman" w:hAnsi="Times New Roman" w:eastAsia="方正仿宋简体"/>
        </w:rPr>
        <w:t>1.5.4 平战结合，科学处置。</w:t>
      </w:r>
    </w:p>
    <w:p w14:paraId="3DB0654F">
      <w:pPr>
        <w:spacing w:line="580" w:lineRule="exact"/>
        <w:ind w:firstLine="632" w:firstLineChars="200"/>
        <w:rPr>
          <w:rFonts w:eastAsia="方正仿宋简体"/>
          <w:sz w:val="32"/>
          <w:szCs w:val="32"/>
        </w:rPr>
      </w:pPr>
      <w:r>
        <w:rPr>
          <w:rFonts w:eastAsia="方正仿宋简体"/>
          <w:sz w:val="32"/>
          <w:szCs w:val="32"/>
        </w:rPr>
        <w:t>积极做好应对集中式饮用水源突发环境污染事件的物资和技术准备，加强培训演练，充分利用现有专业应急救援力量，整合监测网络，引导鼓励实现一专多能，发挥经过专门培训的应急救援力量的作用。</w:t>
      </w:r>
    </w:p>
    <w:p w14:paraId="3A8E4EB6">
      <w:pPr>
        <w:pStyle w:val="3"/>
        <w:keepNext w:val="0"/>
        <w:keepLines w:val="0"/>
        <w:spacing w:before="0" w:after="0" w:line="580" w:lineRule="exact"/>
        <w:ind w:firstLine="632" w:firstLineChars="200"/>
        <w:rPr>
          <w:rFonts w:ascii="Times New Roman" w:hAnsi="Times New Roman" w:eastAsia="方正楷体简体"/>
          <w:b w:val="0"/>
        </w:rPr>
      </w:pPr>
      <w:r>
        <w:rPr>
          <w:rFonts w:ascii="Times New Roman" w:hAnsi="Times New Roman" w:eastAsia="方正楷体简体"/>
          <w:b w:val="0"/>
        </w:rPr>
        <w:t>1.6 应急预案关系</w:t>
      </w:r>
    </w:p>
    <w:p w14:paraId="3A617AEE">
      <w:pPr>
        <w:spacing w:line="580" w:lineRule="exact"/>
        <w:ind w:firstLine="632" w:firstLineChars="200"/>
        <w:rPr>
          <w:rFonts w:hint="eastAsia" w:eastAsia="方正仿宋简体"/>
          <w:sz w:val="32"/>
          <w:szCs w:val="32"/>
        </w:rPr>
      </w:pPr>
      <w:r>
        <w:rPr>
          <w:rFonts w:eastAsia="方正仿宋简体"/>
          <w:sz w:val="32"/>
          <w:szCs w:val="32"/>
        </w:rPr>
        <w:t>《福建省人民政府突发公共事件总体应急预案》《福建省环保厅突发环境事件应急预案》《三明市突发公共事件总体应急预案》《三明市突发环境事件应急预案》《三明市环保局突发环境事件应急预案》《沙县突发公共事件总体应急预案》《沙县突发环境事件应急预案》是本预案的上级预案，《沙县自来水公司应急事故处理预案》为本预案的下级预案，上级预案是下级预案的参照预案。在预案制定时，《沙县集中式饮用水水源地突发环境事件应急预案》在原则上要符合上述预案的总体要求，在执行中，下级预案要服从上级预案的需要。</w:t>
      </w:r>
      <w:r>
        <w:rPr>
          <w:rFonts w:hint="eastAsia" w:eastAsia="方正仿宋简体"/>
          <w:sz w:val="32"/>
          <w:szCs w:val="32"/>
        </w:rPr>
        <w:t xml:space="preserve"> </w:t>
      </w:r>
    </w:p>
    <w:p w14:paraId="674BE33B">
      <w:pPr>
        <w:spacing w:line="560" w:lineRule="exact"/>
        <w:ind w:firstLine="412" w:firstLineChars="200"/>
        <w:rPr>
          <w:rFonts w:hint="eastAsia" w:eastAsia="方正仿宋简体"/>
        </w:rPr>
      </w:pPr>
      <w:r>
        <w:drawing>
          <wp:anchor distT="0" distB="0" distL="114300" distR="114300" simplePos="0" relativeHeight="251659264" behindDoc="0" locked="0" layoutInCell="1" allowOverlap="1">
            <wp:simplePos x="0" y="0"/>
            <wp:positionH relativeFrom="column">
              <wp:posOffset>300990</wp:posOffset>
            </wp:positionH>
            <wp:positionV relativeFrom="paragraph">
              <wp:posOffset>193675</wp:posOffset>
            </wp:positionV>
            <wp:extent cx="4962525" cy="4981575"/>
            <wp:effectExtent l="19050" t="0" r="9525" b="0"/>
            <wp:wrapNone/>
            <wp:docPr id="5" name="图片 2" descr="QQ图片2018080909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QQ图片20180809094702"/>
                    <pic:cNvPicPr>
                      <a:picLocks noChangeAspect="1" noChangeArrowheads="1"/>
                    </pic:cNvPicPr>
                  </pic:nvPicPr>
                  <pic:blipFill>
                    <a:blip r:embed="rId12" cstate="print"/>
                    <a:srcRect/>
                    <a:stretch>
                      <a:fillRect/>
                    </a:stretch>
                  </pic:blipFill>
                  <pic:spPr>
                    <a:xfrm>
                      <a:off x="0" y="0"/>
                      <a:ext cx="4962525" cy="4981575"/>
                    </a:xfrm>
                    <a:prstGeom prst="rect">
                      <a:avLst/>
                    </a:prstGeom>
                    <a:noFill/>
                    <a:ln w="9525">
                      <a:noFill/>
                      <a:miter lim="800000"/>
                      <a:headEnd/>
                      <a:tailEnd/>
                    </a:ln>
                  </pic:spPr>
                </pic:pic>
              </a:graphicData>
            </a:graphic>
          </wp:anchor>
        </w:drawing>
      </w:r>
    </w:p>
    <w:p w14:paraId="2811331E">
      <w:pPr>
        <w:spacing w:line="560" w:lineRule="exact"/>
        <w:ind w:firstLine="412" w:firstLineChars="200"/>
        <w:rPr>
          <w:rFonts w:hint="eastAsia" w:eastAsia="方正仿宋简体"/>
        </w:rPr>
      </w:pPr>
    </w:p>
    <w:p w14:paraId="76CF4AAE">
      <w:pPr>
        <w:spacing w:line="560" w:lineRule="exact"/>
        <w:ind w:firstLine="412" w:firstLineChars="200"/>
        <w:rPr>
          <w:rFonts w:hint="eastAsia" w:eastAsia="方正仿宋简体"/>
        </w:rPr>
      </w:pPr>
      <w:bookmarkStart w:id="12" w:name="_Toc381111982"/>
      <w:bookmarkStart w:id="13" w:name="_Toc381109149"/>
      <w:bookmarkStart w:id="14" w:name="_Toc381629473"/>
      <w:bookmarkStart w:id="15" w:name="_Toc381628536"/>
      <w:bookmarkStart w:id="16" w:name="_Toc381112041"/>
      <w:bookmarkStart w:id="17" w:name="_Toc381629088"/>
      <w:bookmarkStart w:id="18" w:name="_Toc381109089"/>
    </w:p>
    <w:p w14:paraId="558722EF">
      <w:pPr>
        <w:spacing w:line="560" w:lineRule="exact"/>
        <w:ind w:firstLine="412" w:firstLineChars="200"/>
        <w:rPr>
          <w:rFonts w:hint="eastAsia" w:eastAsia="方正仿宋简体"/>
        </w:rPr>
      </w:pPr>
    </w:p>
    <w:p w14:paraId="1FC4A7C5">
      <w:pPr>
        <w:spacing w:line="560" w:lineRule="exact"/>
        <w:ind w:firstLine="412" w:firstLineChars="200"/>
        <w:rPr>
          <w:rFonts w:hint="eastAsia" w:eastAsia="方正仿宋简体"/>
        </w:rPr>
      </w:pPr>
    </w:p>
    <w:p w14:paraId="0B0E6B00">
      <w:pPr>
        <w:spacing w:line="560" w:lineRule="exact"/>
        <w:ind w:firstLine="412" w:firstLineChars="200"/>
        <w:rPr>
          <w:rFonts w:hint="eastAsia" w:eastAsia="方正仿宋简体"/>
        </w:rPr>
      </w:pPr>
    </w:p>
    <w:p w14:paraId="64FB8841">
      <w:pPr>
        <w:spacing w:line="560" w:lineRule="exact"/>
        <w:ind w:firstLine="412" w:firstLineChars="200"/>
        <w:rPr>
          <w:rFonts w:hint="eastAsia" w:eastAsia="方正仿宋简体"/>
        </w:rPr>
      </w:pPr>
    </w:p>
    <w:p w14:paraId="39179D43">
      <w:pPr>
        <w:spacing w:line="560" w:lineRule="exact"/>
        <w:ind w:firstLine="412" w:firstLineChars="200"/>
        <w:rPr>
          <w:rFonts w:hint="eastAsia" w:eastAsia="方正仿宋简体"/>
        </w:rPr>
      </w:pPr>
    </w:p>
    <w:bookmarkEnd w:id="12"/>
    <w:bookmarkEnd w:id="13"/>
    <w:bookmarkEnd w:id="14"/>
    <w:bookmarkEnd w:id="15"/>
    <w:bookmarkEnd w:id="16"/>
    <w:bookmarkEnd w:id="17"/>
    <w:bookmarkEnd w:id="18"/>
    <w:p w14:paraId="0C3371E4">
      <w:pPr>
        <w:spacing w:line="560" w:lineRule="exact"/>
        <w:ind w:firstLine="412" w:firstLineChars="200"/>
        <w:rPr>
          <w:rFonts w:hint="eastAsia" w:eastAsia="方正黑体简体"/>
        </w:rPr>
      </w:pPr>
      <w:bookmarkStart w:id="19" w:name="_Toc393274640"/>
      <w:bookmarkStart w:id="20" w:name="_Toc375899818"/>
    </w:p>
    <w:p w14:paraId="0B88A664">
      <w:pPr>
        <w:spacing w:line="560" w:lineRule="exact"/>
        <w:ind w:firstLine="412" w:firstLineChars="200"/>
        <w:rPr>
          <w:rFonts w:hint="eastAsia" w:eastAsia="方正黑体简体"/>
        </w:rPr>
      </w:pPr>
    </w:p>
    <w:p w14:paraId="0DB653FF">
      <w:pPr>
        <w:spacing w:line="560" w:lineRule="exact"/>
        <w:ind w:firstLine="412" w:firstLineChars="200"/>
        <w:rPr>
          <w:rFonts w:hint="eastAsia" w:eastAsia="方正黑体简体"/>
        </w:rPr>
      </w:pPr>
    </w:p>
    <w:p w14:paraId="0B939A70">
      <w:pPr>
        <w:spacing w:line="560" w:lineRule="exact"/>
        <w:ind w:firstLine="412" w:firstLineChars="200"/>
        <w:rPr>
          <w:rFonts w:hint="eastAsia" w:eastAsia="方正黑体简体"/>
        </w:rPr>
      </w:pPr>
    </w:p>
    <w:p w14:paraId="2F253AE9">
      <w:pPr>
        <w:spacing w:line="560" w:lineRule="exact"/>
        <w:rPr>
          <w:rFonts w:hint="eastAsia" w:eastAsia="方正黑体简体"/>
        </w:rPr>
      </w:pPr>
    </w:p>
    <w:p w14:paraId="554892A3">
      <w:pPr>
        <w:spacing w:line="560" w:lineRule="exact"/>
        <w:ind w:firstLine="632" w:firstLineChars="200"/>
        <w:rPr>
          <w:rFonts w:eastAsia="方正黑体简体"/>
          <w:sz w:val="32"/>
          <w:szCs w:val="32"/>
        </w:rPr>
      </w:pPr>
      <w:r>
        <w:rPr>
          <w:rFonts w:eastAsia="方正黑体简体"/>
          <w:sz w:val="32"/>
          <w:szCs w:val="32"/>
        </w:rPr>
        <w:t>2  应急组织指挥体系与职责</w:t>
      </w:r>
      <w:bookmarkEnd w:id="19"/>
      <w:bookmarkEnd w:id="20"/>
      <w:r>
        <w:rPr>
          <w:rFonts w:eastAsia="方正黑体简体"/>
          <w:sz w:val="32"/>
          <w:szCs w:val="32"/>
        </w:rPr>
        <w:t xml:space="preserve"> </w:t>
      </w:r>
    </w:p>
    <w:p w14:paraId="2A376F54">
      <w:pPr>
        <w:spacing w:line="560" w:lineRule="exact"/>
        <w:ind w:firstLine="632" w:firstLineChars="200"/>
        <w:rPr>
          <w:rFonts w:hint="eastAsia" w:eastAsia="方正楷体简体"/>
          <w:sz w:val="32"/>
          <w:szCs w:val="32"/>
        </w:rPr>
      </w:pPr>
      <w:bookmarkStart w:id="21" w:name="_Toc375899819"/>
      <w:bookmarkStart w:id="22" w:name="_Toc393274641"/>
    </w:p>
    <w:p w14:paraId="58D09BCE">
      <w:pPr>
        <w:spacing w:line="600" w:lineRule="exact"/>
        <w:ind w:firstLine="632" w:firstLineChars="200"/>
        <w:rPr>
          <w:rFonts w:eastAsia="方正楷体简体"/>
          <w:sz w:val="32"/>
          <w:szCs w:val="32"/>
        </w:rPr>
      </w:pPr>
      <w:r>
        <w:rPr>
          <w:rFonts w:eastAsia="方正楷体简体"/>
          <w:sz w:val="32"/>
          <w:szCs w:val="32"/>
        </w:rPr>
        <w:t>2.1 应急处置指挥部</w:t>
      </w:r>
      <w:bookmarkEnd w:id="21"/>
      <w:bookmarkEnd w:id="22"/>
      <w:r>
        <w:rPr>
          <w:rFonts w:eastAsia="方正楷体简体"/>
          <w:sz w:val="32"/>
          <w:szCs w:val="32"/>
        </w:rPr>
        <w:t xml:space="preserve"> </w:t>
      </w:r>
    </w:p>
    <w:p w14:paraId="7F2E2622">
      <w:pPr>
        <w:spacing w:line="600" w:lineRule="exact"/>
        <w:ind w:firstLine="632" w:firstLineChars="200"/>
        <w:rPr>
          <w:rFonts w:eastAsia="方正仿宋简体"/>
          <w:sz w:val="32"/>
          <w:szCs w:val="32"/>
        </w:rPr>
      </w:pPr>
      <w:r>
        <w:rPr>
          <w:rFonts w:eastAsia="方正仿宋简体"/>
          <w:b/>
          <w:sz w:val="32"/>
          <w:szCs w:val="32"/>
        </w:rPr>
        <w:t>2.1.1</w:t>
      </w:r>
      <w:r>
        <w:rPr>
          <w:rFonts w:eastAsia="方正仿宋简体"/>
          <w:sz w:val="32"/>
          <w:szCs w:val="32"/>
        </w:rPr>
        <w:t>县政府成立以分管副县长为总指挥，</w:t>
      </w:r>
      <w:r>
        <w:rPr>
          <w:rFonts w:hint="eastAsia" w:eastAsia="方正仿宋简体"/>
          <w:sz w:val="32"/>
          <w:szCs w:val="32"/>
        </w:rPr>
        <w:t>县</w:t>
      </w:r>
      <w:r>
        <w:rPr>
          <w:rFonts w:eastAsia="方正仿宋简体"/>
          <w:sz w:val="32"/>
          <w:szCs w:val="32"/>
        </w:rPr>
        <w:t>环保局局长、</w:t>
      </w:r>
      <w:r>
        <w:rPr>
          <w:rFonts w:hint="eastAsia" w:eastAsia="方正仿宋简体"/>
          <w:sz w:val="32"/>
          <w:szCs w:val="32"/>
        </w:rPr>
        <w:t>县</w:t>
      </w:r>
      <w:r>
        <w:rPr>
          <w:rFonts w:eastAsia="方正仿宋简体"/>
          <w:sz w:val="32"/>
          <w:szCs w:val="32"/>
        </w:rPr>
        <w:t>安监局局长、</w:t>
      </w:r>
      <w:r>
        <w:rPr>
          <w:rFonts w:hint="eastAsia" w:eastAsia="方正仿宋简体"/>
          <w:sz w:val="32"/>
          <w:szCs w:val="32"/>
        </w:rPr>
        <w:t>县</w:t>
      </w:r>
      <w:r>
        <w:rPr>
          <w:rFonts w:eastAsia="方正仿宋简体"/>
          <w:sz w:val="32"/>
          <w:szCs w:val="32"/>
        </w:rPr>
        <w:t>公安局副局长为副总指挥，</w:t>
      </w:r>
      <w:r>
        <w:rPr>
          <w:rFonts w:hint="eastAsia" w:eastAsia="方正仿宋简体"/>
          <w:sz w:val="32"/>
          <w:szCs w:val="32"/>
        </w:rPr>
        <w:t>县</w:t>
      </w:r>
      <w:r>
        <w:rPr>
          <w:rFonts w:eastAsia="方正仿宋简体"/>
          <w:sz w:val="32"/>
          <w:szCs w:val="32"/>
        </w:rPr>
        <w:t>住建局、</w:t>
      </w:r>
      <w:r>
        <w:rPr>
          <w:rFonts w:hint="eastAsia" w:eastAsia="方正仿宋简体"/>
          <w:sz w:val="32"/>
          <w:szCs w:val="32"/>
        </w:rPr>
        <w:t>县</w:t>
      </w:r>
      <w:r>
        <w:rPr>
          <w:rFonts w:eastAsia="方正仿宋简体"/>
          <w:sz w:val="32"/>
          <w:szCs w:val="32"/>
        </w:rPr>
        <w:t>交通局、</w:t>
      </w:r>
      <w:r>
        <w:rPr>
          <w:rFonts w:hint="eastAsia" w:eastAsia="方正仿宋简体"/>
          <w:sz w:val="32"/>
          <w:szCs w:val="32"/>
        </w:rPr>
        <w:t>县</w:t>
      </w:r>
      <w:r>
        <w:rPr>
          <w:rFonts w:eastAsia="方正仿宋简体"/>
          <w:sz w:val="32"/>
          <w:szCs w:val="32"/>
        </w:rPr>
        <w:t>水利局、</w:t>
      </w:r>
      <w:r>
        <w:rPr>
          <w:rFonts w:hint="eastAsia" w:eastAsia="方正仿宋简体"/>
          <w:sz w:val="32"/>
          <w:szCs w:val="32"/>
        </w:rPr>
        <w:t>县</w:t>
      </w:r>
      <w:r>
        <w:rPr>
          <w:rFonts w:eastAsia="方正仿宋简体"/>
          <w:sz w:val="32"/>
          <w:szCs w:val="32"/>
        </w:rPr>
        <w:t>卫计局、</w:t>
      </w:r>
      <w:r>
        <w:rPr>
          <w:rFonts w:hint="eastAsia" w:eastAsia="方正仿宋简体"/>
          <w:sz w:val="32"/>
          <w:szCs w:val="32"/>
        </w:rPr>
        <w:t>县</w:t>
      </w:r>
      <w:r>
        <w:rPr>
          <w:rFonts w:eastAsia="方正仿宋简体"/>
          <w:sz w:val="32"/>
          <w:szCs w:val="32"/>
        </w:rPr>
        <w:t>农业局、各乡（镇</w:t>
      </w:r>
      <w:r>
        <w:rPr>
          <w:rFonts w:hint="eastAsia" w:eastAsia="方正仿宋简体"/>
          <w:sz w:val="32"/>
          <w:szCs w:val="32"/>
        </w:rPr>
        <w:t>、</w:t>
      </w:r>
      <w:r>
        <w:rPr>
          <w:rFonts w:eastAsia="方正仿宋简体"/>
          <w:sz w:val="32"/>
          <w:szCs w:val="32"/>
        </w:rPr>
        <w:t>街道）等单位主要领导为成员的应急指挥部</w:t>
      </w:r>
      <w:r>
        <w:rPr>
          <w:rFonts w:hint="eastAsia" w:eastAsia="方正仿宋简体"/>
          <w:sz w:val="32"/>
          <w:szCs w:val="32"/>
        </w:rPr>
        <w:t>，</w:t>
      </w:r>
      <w:r>
        <w:rPr>
          <w:rFonts w:eastAsia="方正仿宋简体"/>
          <w:sz w:val="32"/>
          <w:szCs w:val="32"/>
        </w:rPr>
        <w:t xml:space="preserve">下设指挥部办公室、应急处置现场指挥部、危险化学品事件应急处置组、环境污染处置组、应急专家组。 </w:t>
      </w:r>
    </w:p>
    <w:p w14:paraId="14795819">
      <w:pPr>
        <w:spacing w:line="600" w:lineRule="exact"/>
        <w:ind w:firstLine="632" w:firstLineChars="200"/>
        <w:rPr>
          <w:rFonts w:eastAsia="方正仿宋简体"/>
          <w:sz w:val="32"/>
          <w:szCs w:val="32"/>
        </w:rPr>
      </w:pPr>
      <w:r>
        <w:rPr>
          <w:rFonts w:eastAsia="方正仿宋简体"/>
          <w:b/>
          <w:sz w:val="32"/>
          <w:szCs w:val="32"/>
        </w:rPr>
        <w:t>2.1.2</w:t>
      </w:r>
      <w:r>
        <w:rPr>
          <w:rFonts w:eastAsia="方正仿宋简体"/>
          <w:sz w:val="32"/>
          <w:szCs w:val="32"/>
        </w:rPr>
        <w:t xml:space="preserve">主要职责：提出现场应急行动原则要求；组织有关专家和人员参与现场应急救援指挥部的应急指挥工作；协调各级、各专业应急力量实施应急支援行动；协调受威胁的周边地区危险源的监控工作；协调划定建立现场警戒区和交通管制区域，确定重点防护区域；根据现场监测结果，确定被转移、疏散群众返回时间；及时向省人民政府报告应急行动的进展情况；统一对外发布环境污染事件所造成环境污染情况的信息。 </w:t>
      </w:r>
    </w:p>
    <w:p w14:paraId="12D31F23">
      <w:pPr>
        <w:spacing w:line="600" w:lineRule="exact"/>
        <w:ind w:firstLine="632" w:firstLineChars="200"/>
        <w:rPr>
          <w:rFonts w:eastAsia="方正楷体简体"/>
          <w:sz w:val="32"/>
          <w:szCs w:val="32"/>
        </w:rPr>
      </w:pPr>
      <w:bookmarkStart w:id="23" w:name="_Toc375899820"/>
      <w:bookmarkStart w:id="24" w:name="_Toc393274642"/>
      <w:r>
        <w:rPr>
          <w:rFonts w:eastAsia="方正楷体简体"/>
          <w:sz w:val="32"/>
          <w:szCs w:val="32"/>
        </w:rPr>
        <w:t>2.2 指挥部办公室</w:t>
      </w:r>
      <w:bookmarkEnd w:id="23"/>
      <w:bookmarkEnd w:id="24"/>
      <w:r>
        <w:rPr>
          <w:rFonts w:eastAsia="方正楷体简体"/>
          <w:sz w:val="32"/>
          <w:szCs w:val="32"/>
        </w:rPr>
        <w:t xml:space="preserve"> </w:t>
      </w:r>
    </w:p>
    <w:p w14:paraId="2607B02E">
      <w:pPr>
        <w:spacing w:line="600" w:lineRule="exact"/>
        <w:ind w:firstLine="632" w:firstLineChars="200"/>
        <w:rPr>
          <w:rFonts w:eastAsia="方正仿宋简体"/>
          <w:sz w:val="32"/>
          <w:szCs w:val="32"/>
        </w:rPr>
      </w:pPr>
      <w:r>
        <w:rPr>
          <w:rFonts w:eastAsia="方正仿宋简体"/>
          <w:b/>
          <w:sz w:val="32"/>
          <w:szCs w:val="32"/>
        </w:rPr>
        <w:t>2.2.1</w:t>
      </w:r>
      <w:r>
        <w:rPr>
          <w:rFonts w:eastAsia="方正仿宋简体"/>
          <w:sz w:val="32"/>
          <w:szCs w:val="32"/>
        </w:rPr>
        <w:t>应急处置指挥部下设办公室，挂靠在县环保局，由县环保局局长兼任办公室主任。成员由</w:t>
      </w:r>
      <w:r>
        <w:rPr>
          <w:rFonts w:hint="eastAsia" w:eastAsia="方正仿宋简体"/>
          <w:sz w:val="32"/>
          <w:szCs w:val="32"/>
        </w:rPr>
        <w:t>县</w:t>
      </w:r>
      <w:r>
        <w:rPr>
          <w:rFonts w:eastAsia="方正仿宋简体"/>
          <w:sz w:val="32"/>
          <w:szCs w:val="32"/>
        </w:rPr>
        <w:t>住建局、</w:t>
      </w:r>
      <w:r>
        <w:rPr>
          <w:rFonts w:hint="eastAsia" w:eastAsia="方正仿宋简体"/>
          <w:sz w:val="32"/>
          <w:szCs w:val="32"/>
        </w:rPr>
        <w:t>县</w:t>
      </w:r>
      <w:r>
        <w:rPr>
          <w:rFonts w:eastAsia="方正仿宋简体"/>
          <w:sz w:val="32"/>
          <w:szCs w:val="32"/>
        </w:rPr>
        <w:t>交通局、</w:t>
      </w:r>
      <w:r>
        <w:rPr>
          <w:rFonts w:hint="eastAsia" w:eastAsia="方正仿宋简体"/>
          <w:sz w:val="32"/>
          <w:szCs w:val="32"/>
        </w:rPr>
        <w:t>县</w:t>
      </w:r>
      <w:r>
        <w:rPr>
          <w:rFonts w:eastAsia="方正仿宋简体"/>
          <w:sz w:val="32"/>
          <w:szCs w:val="32"/>
        </w:rPr>
        <w:t>水利局、</w:t>
      </w:r>
      <w:r>
        <w:rPr>
          <w:rFonts w:hint="eastAsia" w:eastAsia="方正仿宋简体"/>
          <w:sz w:val="32"/>
          <w:szCs w:val="32"/>
        </w:rPr>
        <w:t>县</w:t>
      </w:r>
      <w:r>
        <w:rPr>
          <w:rFonts w:eastAsia="方正仿宋简体"/>
          <w:sz w:val="32"/>
          <w:szCs w:val="32"/>
        </w:rPr>
        <w:t>卫计局、</w:t>
      </w:r>
      <w:r>
        <w:rPr>
          <w:rFonts w:hint="eastAsia" w:eastAsia="方正仿宋简体"/>
          <w:sz w:val="32"/>
          <w:szCs w:val="32"/>
        </w:rPr>
        <w:t>县</w:t>
      </w:r>
      <w:r>
        <w:rPr>
          <w:rFonts w:eastAsia="方正仿宋简体"/>
          <w:sz w:val="32"/>
          <w:szCs w:val="32"/>
        </w:rPr>
        <w:t>农业局、</w:t>
      </w:r>
      <w:r>
        <w:rPr>
          <w:rFonts w:hint="eastAsia" w:eastAsia="方正仿宋简体"/>
          <w:sz w:val="32"/>
          <w:szCs w:val="32"/>
        </w:rPr>
        <w:t>县水务</w:t>
      </w:r>
      <w:r>
        <w:rPr>
          <w:rFonts w:eastAsia="方正仿宋简体"/>
          <w:sz w:val="32"/>
          <w:szCs w:val="32"/>
        </w:rPr>
        <w:t>公司、各乡（镇、街道）等单位主要领导组成。</w:t>
      </w:r>
    </w:p>
    <w:p w14:paraId="52C40DCD">
      <w:pPr>
        <w:spacing w:line="600" w:lineRule="exact"/>
        <w:ind w:firstLine="632" w:firstLineChars="200"/>
        <w:rPr>
          <w:rFonts w:eastAsia="方正仿宋简体"/>
          <w:sz w:val="32"/>
          <w:szCs w:val="32"/>
        </w:rPr>
      </w:pPr>
      <w:r>
        <w:rPr>
          <w:rFonts w:eastAsia="方正仿宋简体"/>
          <w:b/>
          <w:sz w:val="32"/>
          <w:szCs w:val="32"/>
        </w:rPr>
        <w:t>2.2.2</w:t>
      </w:r>
      <w:r>
        <w:rPr>
          <w:rFonts w:eastAsia="方正仿宋简体"/>
          <w:sz w:val="32"/>
          <w:szCs w:val="32"/>
        </w:rPr>
        <w:t>主要职责：根据指挥部的指令和现场调查、监测情况，指挥各有关部门应急处置人员进行现场调查、取证、污染区域警戒、污染物的处置工作；负责对外协调沟通、事故分析、信息上报工作；协调做好污染事件应急处置的组织和技术准备；组织污染事件应急处置专家组，提供科学决策意见；减少污染对周围环境的危害，保护饮用水源安全和生态安全；负责向省、市相关部门报告情况、协调落实上级指示；建立健全我县污染事件应急处置技术数据库，组织应急监察和监测人员进行相关知识、技能的培训</w:t>
      </w:r>
      <w:r>
        <w:rPr>
          <w:rFonts w:hint="eastAsia" w:eastAsia="方正仿宋简体"/>
          <w:sz w:val="32"/>
          <w:szCs w:val="32"/>
        </w:rPr>
        <w:t>，</w:t>
      </w:r>
      <w:r>
        <w:rPr>
          <w:rFonts w:eastAsia="方正仿宋简体"/>
          <w:sz w:val="32"/>
          <w:szCs w:val="32"/>
        </w:rPr>
        <w:t xml:space="preserve">做好事件的调查上报和善后处理工作。 </w:t>
      </w:r>
    </w:p>
    <w:p w14:paraId="5EF24FAA">
      <w:pPr>
        <w:spacing w:line="600" w:lineRule="exact"/>
        <w:ind w:firstLine="632" w:firstLineChars="200"/>
        <w:rPr>
          <w:rFonts w:eastAsia="方正楷体简体"/>
          <w:sz w:val="32"/>
          <w:szCs w:val="32"/>
        </w:rPr>
      </w:pPr>
      <w:bookmarkStart w:id="25" w:name="_Toc393274643"/>
      <w:r>
        <w:rPr>
          <w:rFonts w:eastAsia="方正楷体简体"/>
          <w:sz w:val="32"/>
          <w:szCs w:val="32"/>
        </w:rPr>
        <w:t>2.3 应急处置现场指挥部</w:t>
      </w:r>
      <w:bookmarkEnd w:id="25"/>
    </w:p>
    <w:p w14:paraId="3459F45B">
      <w:pPr>
        <w:spacing w:line="600" w:lineRule="exact"/>
        <w:ind w:firstLine="632" w:firstLineChars="200"/>
        <w:rPr>
          <w:rFonts w:eastAsia="方正仿宋简体"/>
          <w:sz w:val="32"/>
          <w:szCs w:val="32"/>
        </w:rPr>
      </w:pPr>
      <w:r>
        <w:rPr>
          <w:rFonts w:eastAsia="方正仿宋简体"/>
          <w:b/>
          <w:sz w:val="32"/>
          <w:szCs w:val="32"/>
        </w:rPr>
        <w:t>2.3.1</w:t>
      </w:r>
      <w:r>
        <w:rPr>
          <w:rFonts w:eastAsia="方正仿宋简体"/>
          <w:sz w:val="32"/>
          <w:szCs w:val="32"/>
        </w:rPr>
        <w:t>现场指挥部由突发环境事件相关部门构成，根据突发环境事件的类别、特点确定现场指挥部负责人。</w:t>
      </w:r>
    </w:p>
    <w:p w14:paraId="2F036C47">
      <w:pPr>
        <w:spacing w:line="600" w:lineRule="exact"/>
        <w:ind w:firstLine="632" w:firstLineChars="200"/>
        <w:rPr>
          <w:rFonts w:eastAsia="方正仿宋简体"/>
          <w:sz w:val="32"/>
          <w:szCs w:val="32"/>
        </w:rPr>
      </w:pPr>
      <w:r>
        <w:rPr>
          <w:rFonts w:eastAsia="方正仿宋简体"/>
          <w:b/>
          <w:sz w:val="32"/>
          <w:szCs w:val="32"/>
        </w:rPr>
        <w:t>2.3.2</w:t>
      </w:r>
      <w:r>
        <w:rPr>
          <w:rFonts w:eastAsia="方正仿宋简体"/>
          <w:sz w:val="32"/>
          <w:szCs w:val="32"/>
        </w:rPr>
        <w:t>职责：提出现场应急行动原则要求，依法及时公布应对突发事件的决定、命令；派出有关专家和人员参与现场应急处置指挥工作；协调各级、各专业应急力量实施应急支援行动；协调受威胁的地区周边危险源的监控工作；协调建立现场警戒区和交通管制区域，确定重点防护区域；根据突发环境事件的性质、特点，通过报纸、广播、电视、网络和通讯等方式告知单位和公民应采取的安全防护措施；根据事发时当地的气象、地理环境、人员密集度等，确定受到威胁的人员的疏散和撤离的时间和方式；按照本预案规定及时报告信息。</w:t>
      </w:r>
    </w:p>
    <w:p w14:paraId="072F6B4D">
      <w:pPr>
        <w:spacing w:line="600" w:lineRule="exact"/>
        <w:ind w:firstLine="632" w:firstLineChars="200"/>
        <w:rPr>
          <w:rFonts w:eastAsia="方正楷体简体"/>
          <w:sz w:val="32"/>
          <w:szCs w:val="32"/>
        </w:rPr>
      </w:pPr>
      <w:bookmarkStart w:id="26" w:name="_Toc393274644"/>
      <w:bookmarkStart w:id="27" w:name="_Toc375899821"/>
      <w:r>
        <w:rPr>
          <w:rFonts w:eastAsia="方正楷体简体"/>
          <w:sz w:val="32"/>
          <w:szCs w:val="32"/>
        </w:rPr>
        <w:t>2.4 危险化学品事件应急处置组</w:t>
      </w:r>
      <w:bookmarkEnd w:id="26"/>
      <w:bookmarkEnd w:id="27"/>
      <w:r>
        <w:rPr>
          <w:rFonts w:eastAsia="方正楷体简体"/>
          <w:sz w:val="32"/>
          <w:szCs w:val="32"/>
        </w:rPr>
        <w:t xml:space="preserve"> </w:t>
      </w:r>
    </w:p>
    <w:p w14:paraId="03533021">
      <w:pPr>
        <w:spacing w:line="600" w:lineRule="exact"/>
        <w:ind w:firstLine="632" w:firstLineChars="200"/>
        <w:rPr>
          <w:rFonts w:eastAsia="方正仿宋简体"/>
          <w:sz w:val="32"/>
          <w:szCs w:val="32"/>
        </w:rPr>
      </w:pPr>
      <w:r>
        <w:rPr>
          <w:rFonts w:eastAsia="方正仿宋简体"/>
          <w:b/>
          <w:sz w:val="32"/>
          <w:szCs w:val="32"/>
        </w:rPr>
        <w:t>2.4.1</w:t>
      </w:r>
      <w:r>
        <w:rPr>
          <w:rFonts w:eastAsia="方正仿宋简体"/>
          <w:sz w:val="32"/>
          <w:szCs w:val="32"/>
        </w:rPr>
        <w:t>由县安监局局长任组长，由县公安局、</w:t>
      </w:r>
      <w:r>
        <w:rPr>
          <w:rFonts w:hint="eastAsia" w:eastAsia="方正仿宋简体"/>
          <w:sz w:val="32"/>
          <w:szCs w:val="32"/>
        </w:rPr>
        <w:t>县</w:t>
      </w:r>
      <w:r>
        <w:rPr>
          <w:rFonts w:eastAsia="方正仿宋简体"/>
          <w:sz w:val="32"/>
          <w:szCs w:val="32"/>
        </w:rPr>
        <w:t>卫计局、</w:t>
      </w:r>
      <w:r>
        <w:rPr>
          <w:rFonts w:hint="eastAsia" w:eastAsia="方正仿宋简体"/>
          <w:sz w:val="32"/>
          <w:szCs w:val="32"/>
        </w:rPr>
        <w:t>县</w:t>
      </w:r>
      <w:r>
        <w:rPr>
          <w:rFonts w:eastAsia="方正仿宋简体"/>
          <w:sz w:val="32"/>
          <w:szCs w:val="32"/>
        </w:rPr>
        <w:t>交通局、</w:t>
      </w:r>
      <w:r>
        <w:rPr>
          <w:rFonts w:hint="eastAsia" w:eastAsia="方正仿宋简体"/>
          <w:sz w:val="32"/>
          <w:szCs w:val="32"/>
        </w:rPr>
        <w:t>县</w:t>
      </w:r>
      <w:r>
        <w:rPr>
          <w:rFonts w:eastAsia="方正仿宋简体"/>
          <w:sz w:val="32"/>
          <w:szCs w:val="32"/>
        </w:rPr>
        <w:t>水利局、</w:t>
      </w:r>
      <w:r>
        <w:rPr>
          <w:rFonts w:hint="eastAsia" w:eastAsia="方正仿宋简体"/>
          <w:sz w:val="32"/>
          <w:szCs w:val="32"/>
        </w:rPr>
        <w:t>县</w:t>
      </w:r>
      <w:r>
        <w:rPr>
          <w:rFonts w:eastAsia="方正仿宋简体"/>
          <w:sz w:val="32"/>
          <w:szCs w:val="32"/>
        </w:rPr>
        <w:t xml:space="preserve">环保局等相关部门和各乡（镇、街道）组成，并视情可另行确定增加参加的部门。 </w:t>
      </w:r>
    </w:p>
    <w:p w14:paraId="1D70EBB2">
      <w:pPr>
        <w:spacing w:line="600" w:lineRule="exact"/>
        <w:ind w:firstLine="632" w:firstLineChars="200"/>
        <w:rPr>
          <w:rFonts w:eastAsia="方正仿宋简体"/>
          <w:sz w:val="32"/>
          <w:szCs w:val="32"/>
        </w:rPr>
      </w:pPr>
      <w:r>
        <w:rPr>
          <w:rFonts w:eastAsia="方正仿宋简体"/>
          <w:b/>
          <w:sz w:val="32"/>
          <w:szCs w:val="32"/>
        </w:rPr>
        <w:t>2.4.2</w:t>
      </w:r>
      <w:r>
        <w:rPr>
          <w:rFonts w:eastAsia="方正仿宋简体"/>
          <w:sz w:val="32"/>
          <w:szCs w:val="32"/>
        </w:rPr>
        <w:t xml:space="preserve">职责：在集中式饮用水源发生化学品污染事件时，应急处置组立即赶赴现场，依照《沙县危险化学品事故应急援救预案》的职责分工，组织相关部门和单位，采取有效措施，控制危险源，排除险情，抢救伤员，对事故现场予以有效控制，防止事故扩大。负责对化学品运输车辆泄漏或交通事故现场的调查和善后处理工作。 </w:t>
      </w:r>
    </w:p>
    <w:p w14:paraId="4B8292D7">
      <w:pPr>
        <w:spacing w:line="600" w:lineRule="exact"/>
        <w:ind w:firstLine="632" w:firstLineChars="200"/>
        <w:rPr>
          <w:rFonts w:eastAsia="方正楷体简体"/>
          <w:sz w:val="32"/>
          <w:szCs w:val="32"/>
        </w:rPr>
      </w:pPr>
      <w:bookmarkStart w:id="28" w:name="_Toc375899822"/>
      <w:bookmarkStart w:id="29" w:name="_Toc393274645"/>
      <w:r>
        <w:rPr>
          <w:rFonts w:eastAsia="方正楷体简体"/>
          <w:sz w:val="32"/>
          <w:szCs w:val="32"/>
        </w:rPr>
        <w:t>2.5 环境污染处置组</w:t>
      </w:r>
      <w:bookmarkEnd w:id="28"/>
      <w:bookmarkEnd w:id="29"/>
      <w:r>
        <w:rPr>
          <w:rFonts w:eastAsia="方正楷体简体"/>
          <w:sz w:val="32"/>
          <w:szCs w:val="32"/>
        </w:rPr>
        <w:t xml:space="preserve"> </w:t>
      </w:r>
    </w:p>
    <w:p w14:paraId="3381FA4A">
      <w:pPr>
        <w:spacing w:line="600" w:lineRule="exact"/>
        <w:ind w:firstLine="632" w:firstLineChars="200"/>
        <w:rPr>
          <w:rFonts w:eastAsia="方正仿宋简体"/>
          <w:sz w:val="32"/>
          <w:szCs w:val="32"/>
        </w:rPr>
      </w:pPr>
      <w:r>
        <w:rPr>
          <w:rFonts w:eastAsia="方正仿宋简体"/>
          <w:b/>
          <w:sz w:val="32"/>
          <w:szCs w:val="32"/>
        </w:rPr>
        <w:t>2.5.1</w:t>
      </w:r>
      <w:r>
        <w:rPr>
          <w:rFonts w:eastAsia="方正仿宋简体"/>
          <w:sz w:val="32"/>
          <w:szCs w:val="32"/>
        </w:rPr>
        <w:t>由县环保局局长任组长，由</w:t>
      </w:r>
      <w:r>
        <w:rPr>
          <w:rFonts w:hint="eastAsia" w:eastAsia="方正仿宋简体"/>
          <w:sz w:val="32"/>
          <w:szCs w:val="32"/>
        </w:rPr>
        <w:t>县</w:t>
      </w:r>
      <w:r>
        <w:rPr>
          <w:rFonts w:eastAsia="方正仿宋简体"/>
          <w:sz w:val="32"/>
          <w:szCs w:val="32"/>
        </w:rPr>
        <w:t>住建局、</w:t>
      </w:r>
      <w:r>
        <w:rPr>
          <w:rFonts w:hint="eastAsia" w:eastAsia="方正仿宋简体"/>
          <w:sz w:val="32"/>
          <w:szCs w:val="32"/>
        </w:rPr>
        <w:t>县</w:t>
      </w:r>
      <w:r>
        <w:rPr>
          <w:rFonts w:eastAsia="方正仿宋简体"/>
          <w:sz w:val="32"/>
          <w:szCs w:val="32"/>
        </w:rPr>
        <w:t>卫计局、</w:t>
      </w:r>
      <w:r>
        <w:rPr>
          <w:rFonts w:hint="eastAsia" w:eastAsia="方正仿宋简体"/>
          <w:sz w:val="32"/>
          <w:szCs w:val="32"/>
        </w:rPr>
        <w:t>县</w:t>
      </w:r>
      <w:r>
        <w:rPr>
          <w:rFonts w:eastAsia="方正仿宋简体"/>
          <w:sz w:val="32"/>
          <w:szCs w:val="32"/>
        </w:rPr>
        <w:t>公安局、</w:t>
      </w:r>
      <w:r>
        <w:rPr>
          <w:rFonts w:hint="eastAsia" w:eastAsia="方正仿宋简体"/>
          <w:sz w:val="32"/>
          <w:szCs w:val="32"/>
        </w:rPr>
        <w:t>县</w:t>
      </w:r>
      <w:r>
        <w:rPr>
          <w:rFonts w:eastAsia="方正仿宋简体"/>
          <w:sz w:val="32"/>
          <w:szCs w:val="32"/>
        </w:rPr>
        <w:t>水利局、</w:t>
      </w:r>
      <w:r>
        <w:rPr>
          <w:rFonts w:hint="eastAsia" w:eastAsia="方正仿宋简体"/>
          <w:sz w:val="32"/>
          <w:szCs w:val="32"/>
        </w:rPr>
        <w:t>县</w:t>
      </w:r>
      <w:r>
        <w:rPr>
          <w:rFonts w:eastAsia="方正仿宋简体"/>
          <w:sz w:val="32"/>
          <w:szCs w:val="32"/>
        </w:rPr>
        <w:t>农业局、</w:t>
      </w:r>
      <w:r>
        <w:rPr>
          <w:rFonts w:hint="eastAsia" w:eastAsia="方正仿宋简体"/>
          <w:sz w:val="32"/>
          <w:szCs w:val="32"/>
        </w:rPr>
        <w:t>县</w:t>
      </w:r>
      <w:r>
        <w:rPr>
          <w:rFonts w:eastAsia="方正仿宋简体"/>
          <w:sz w:val="32"/>
          <w:szCs w:val="32"/>
        </w:rPr>
        <w:t>交通</w:t>
      </w:r>
      <w:r>
        <w:rPr>
          <w:rFonts w:hint="eastAsia" w:eastAsia="方正仿宋简体"/>
          <w:sz w:val="32"/>
          <w:szCs w:val="32"/>
        </w:rPr>
        <w:t>运输</w:t>
      </w:r>
      <w:r>
        <w:rPr>
          <w:rFonts w:eastAsia="方正仿宋简体"/>
          <w:sz w:val="32"/>
          <w:szCs w:val="32"/>
        </w:rPr>
        <w:t xml:space="preserve">局等相关部门和各乡（镇、街道）组成，并视情可另行确定增加参加的部门。 </w:t>
      </w:r>
    </w:p>
    <w:p w14:paraId="6CC240DC">
      <w:pPr>
        <w:spacing w:line="600" w:lineRule="exact"/>
        <w:ind w:firstLine="632" w:firstLineChars="200"/>
        <w:rPr>
          <w:rFonts w:eastAsia="方正仿宋简体"/>
          <w:sz w:val="32"/>
          <w:szCs w:val="32"/>
        </w:rPr>
      </w:pPr>
      <w:r>
        <w:rPr>
          <w:rFonts w:eastAsia="方正仿宋简体"/>
          <w:b/>
          <w:sz w:val="32"/>
          <w:szCs w:val="32"/>
        </w:rPr>
        <w:t>2.5.2</w:t>
      </w:r>
      <w:r>
        <w:rPr>
          <w:rFonts w:eastAsia="方正仿宋简体"/>
          <w:sz w:val="32"/>
          <w:szCs w:val="32"/>
        </w:rPr>
        <w:t>职责：由县环保局牵头，组织相关部门开展现场污染事故调查监察、处置工作；制定现场应急监测方案，迅速开展现场应急监测工作，环境监测部门负责现场应急监测的布点、采样及化验分析，水厂水质监测部门负责原水水质监测，及时报告监测数据；判明污染物性质和危害范围，建议采取相应的处置措施，控制事故排放的污染源，消除或减少环境污染危害，对事故危害予以有效控制。组长负责现场相关单位的协调，提出事故处置建议措施；负责向应急处置指挥部报告现场情况。小组成员按各自职责进行现场调查取证、事故处置、事故分析、形成报告等工作。</w:t>
      </w:r>
    </w:p>
    <w:p w14:paraId="3680D817">
      <w:pPr>
        <w:spacing w:line="600" w:lineRule="exact"/>
        <w:ind w:firstLine="632" w:firstLineChars="200"/>
        <w:rPr>
          <w:rFonts w:eastAsia="方正楷体简体"/>
          <w:sz w:val="32"/>
          <w:szCs w:val="32"/>
        </w:rPr>
      </w:pPr>
      <w:bookmarkStart w:id="30" w:name="_Toc393274646"/>
      <w:r>
        <w:rPr>
          <w:rFonts w:eastAsia="方正楷体简体"/>
          <w:sz w:val="32"/>
          <w:szCs w:val="32"/>
        </w:rPr>
        <w:t>2.6 应急专家组</w:t>
      </w:r>
      <w:bookmarkEnd w:id="30"/>
    </w:p>
    <w:p w14:paraId="52C14D98">
      <w:pPr>
        <w:spacing w:line="600" w:lineRule="exact"/>
        <w:ind w:firstLine="632" w:firstLineChars="200"/>
        <w:rPr>
          <w:rFonts w:eastAsia="方正仿宋简体"/>
          <w:sz w:val="32"/>
          <w:szCs w:val="32"/>
        </w:rPr>
      </w:pPr>
      <w:r>
        <w:rPr>
          <w:rFonts w:eastAsia="方正仿宋简体"/>
          <w:sz w:val="32"/>
          <w:szCs w:val="32"/>
        </w:rPr>
        <w:t>突发环境事件应急专家组由科研单位和有关专家组成。专家组参与突发环境事件应急处置、应急演练和应急预案的评估工作，协助判别事件类型和预警等级，为沙县突发环境事件应急指挥机构的决策提供技术支持（专家名单详见附件4）。</w:t>
      </w:r>
    </w:p>
    <w:p w14:paraId="4615F7C9">
      <w:pPr>
        <w:spacing w:line="600" w:lineRule="exact"/>
        <w:ind w:firstLine="632" w:firstLineChars="200"/>
        <w:rPr>
          <w:rFonts w:eastAsia="方正楷体简体"/>
          <w:sz w:val="32"/>
          <w:szCs w:val="32"/>
        </w:rPr>
      </w:pPr>
      <w:bookmarkStart w:id="31" w:name="_Toc393274647"/>
      <w:bookmarkStart w:id="32" w:name="_Toc375899823"/>
      <w:r>
        <w:rPr>
          <w:rFonts w:eastAsia="方正楷体简体"/>
          <w:sz w:val="32"/>
          <w:szCs w:val="32"/>
        </w:rPr>
        <w:t>2.7 相关单位职责</w:t>
      </w:r>
      <w:bookmarkEnd w:id="31"/>
      <w:bookmarkEnd w:id="32"/>
      <w:r>
        <w:rPr>
          <w:rFonts w:eastAsia="方正楷体简体"/>
          <w:sz w:val="32"/>
          <w:szCs w:val="32"/>
        </w:rPr>
        <w:t xml:space="preserve"> </w:t>
      </w:r>
    </w:p>
    <w:p w14:paraId="1CCFE2AB">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环保局：协同相关部门分析污染事故原因，判明污染物，提出处理意见，防止污染扩大；对环境污染事故的性质、等级和危害作出恰当的认定；负责跟踪污染动态情况，对建立和解除污染警报的时间、区域提出建议；对环境恢复、生态修复提出建议措施；根据实际情况，定期组织各有关部门联合开展应急演练。</w:t>
      </w:r>
    </w:p>
    <w:p w14:paraId="6BA3414A">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安监局：负责将特大事故在规定的时间内上报省、市安委会办公室；组织对化学品运输车辆泄漏或交通事故的现场处置和调查处理工作。</w:t>
      </w:r>
    </w:p>
    <w:p w14:paraId="06B94D0F">
      <w:pPr>
        <w:spacing w:line="600" w:lineRule="exact"/>
        <w:ind w:firstLine="632" w:firstLineChars="200"/>
        <w:rPr>
          <w:rFonts w:eastAsia="方正仿宋简体"/>
          <w:sz w:val="32"/>
          <w:szCs w:val="32"/>
        </w:rPr>
      </w:pPr>
      <w:r>
        <w:rPr>
          <w:rFonts w:eastAsia="方正仿宋简体"/>
          <w:sz w:val="32"/>
          <w:szCs w:val="32"/>
        </w:rPr>
        <w:t>水利局：在饮用水源发生突发污染事故时</w:t>
      </w:r>
      <w:r>
        <w:rPr>
          <w:rFonts w:eastAsia="方正仿宋简体"/>
          <w:color w:val="000000"/>
          <w:sz w:val="32"/>
          <w:szCs w:val="32"/>
        </w:rPr>
        <w:t>，根据污染程度协调和指</w:t>
      </w:r>
      <w:r>
        <w:rPr>
          <w:rFonts w:eastAsia="方正仿宋简体"/>
          <w:sz w:val="32"/>
          <w:szCs w:val="32"/>
        </w:rPr>
        <w:t xml:space="preserve">导自来水公司开展原水水质监测，调度和保障群众饮用水供应工作，并视情况采取停水、减压供水、改路供水、启用备用水源等处置措施；组织实施饮用水水源地蓝藻生长情况的监测和蓝藻消除、水面清洁工作。 </w:t>
      </w:r>
    </w:p>
    <w:p w14:paraId="66DD5B6D">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住建局：负责饮用水水源地周边和上游乡村污水、垃圾的治理。</w:t>
      </w:r>
    </w:p>
    <w:p w14:paraId="5907D5FA">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 xml:space="preserve">卫计局：负责组织开展中毒病人的救治、区域内饮用水污染事故对人体健康影响的调查工作，加强对饮用水的卫生安全监督监测，提出控制污染对策建议。 </w:t>
      </w:r>
    </w:p>
    <w:p w14:paraId="447B5C1C">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 xml:space="preserve">公安局：负责维护事故现场治安秩序，参与事故现场处置，对污染事故进行调查取证，尤其是倾倒、埋藏危险废物行为的，依法对责任人作出处理；做好交通事故现场附近的交通管制，疏导围观群众、分流交通车辆和交通事故现场处理工作；组织指挥消防部门做好危险化学品污染事故火灾的灭火和参加有关危险化学品的处置工作。 </w:t>
      </w:r>
    </w:p>
    <w:p w14:paraId="161038DB">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 xml:space="preserve">农业局：负责污染事故对沙溪可能发生鱼类中毒现象的监督、监测和综合分析，制订相应的应急处置措施。 </w:t>
      </w:r>
    </w:p>
    <w:p w14:paraId="100149E4">
      <w:pPr>
        <w:spacing w:line="600" w:lineRule="exact"/>
        <w:ind w:firstLine="616" w:firstLineChars="200"/>
        <w:rPr>
          <w:rFonts w:eastAsia="方正仿宋简体"/>
          <w:spacing w:val="-4"/>
          <w:sz w:val="32"/>
          <w:szCs w:val="32"/>
        </w:rPr>
      </w:pPr>
      <w:r>
        <w:rPr>
          <w:rFonts w:hint="eastAsia" w:eastAsia="方正仿宋简体"/>
          <w:spacing w:val="-4"/>
          <w:sz w:val="32"/>
          <w:szCs w:val="32"/>
        </w:rPr>
        <w:t>县</w:t>
      </w:r>
      <w:r>
        <w:rPr>
          <w:rFonts w:eastAsia="方正仿宋简体"/>
          <w:spacing w:val="-4"/>
          <w:sz w:val="32"/>
          <w:szCs w:val="32"/>
        </w:rPr>
        <w:t>交通</w:t>
      </w:r>
      <w:r>
        <w:rPr>
          <w:rFonts w:hint="eastAsia" w:eastAsia="方正仿宋简体"/>
          <w:spacing w:val="-4"/>
          <w:sz w:val="32"/>
          <w:szCs w:val="32"/>
        </w:rPr>
        <w:t>运输</w:t>
      </w:r>
      <w:r>
        <w:rPr>
          <w:rFonts w:eastAsia="方正仿宋简体"/>
          <w:spacing w:val="-4"/>
          <w:sz w:val="32"/>
          <w:szCs w:val="32"/>
        </w:rPr>
        <w:t xml:space="preserve">局：指导公路部门对水源保护区范围内的危险路段公路防撞栏进行修护；维持水源保护区内养护公路正常通行。 </w:t>
      </w:r>
    </w:p>
    <w:p w14:paraId="0A2734E4">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气象局：负责提供有关的气象监测数据，为污染控制提供气象资料方面的技术支持；必要时在突发环境事件区域进行加密可移动气象监测，提供现场气象预报服务信息并适时开展人工影响天气作业。</w:t>
      </w:r>
    </w:p>
    <w:p w14:paraId="02E95A9D">
      <w:pPr>
        <w:spacing w:line="600" w:lineRule="exact"/>
        <w:ind w:firstLine="632" w:firstLineChars="200"/>
        <w:rPr>
          <w:rFonts w:eastAsia="方正仿宋简体"/>
          <w:sz w:val="32"/>
          <w:szCs w:val="32"/>
        </w:rPr>
      </w:pPr>
      <w:r>
        <w:rPr>
          <w:rFonts w:eastAsia="方正仿宋简体"/>
          <w:sz w:val="32"/>
          <w:szCs w:val="32"/>
        </w:rPr>
        <w:t>各乡（镇、街道）：在县应急指挥部的统一领导下，协助做好事故应急处置工作；负责协调解决事故应急处置所需的人员、设备、车辆、物资等，组织发动当地群众投入救援工作。</w:t>
      </w:r>
    </w:p>
    <w:p w14:paraId="0ED223F4">
      <w:pPr>
        <w:spacing w:line="600" w:lineRule="exact"/>
        <w:ind w:firstLine="632" w:firstLineChars="200"/>
        <w:rPr>
          <w:rFonts w:eastAsia="方正仿宋简体"/>
          <w:sz w:val="32"/>
          <w:szCs w:val="32"/>
        </w:rPr>
      </w:pPr>
      <w:r>
        <w:rPr>
          <w:rFonts w:hint="eastAsia" w:eastAsia="方正仿宋简体"/>
          <w:sz w:val="32"/>
          <w:szCs w:val="32"/>
        </w:rPr>
        <w:t>县</w:t>
      </w:r>
      <w:r>
        <w:rPr>
          <w:rFonts w:eastAsia="方正仿宋简体"/>
          <w:sz w:val="32"/>
          <w:szCs w:val="32"/>
        </w:rPr>
        <w:t>财政局：负责突发环境事件应急处置及应急能力建设管理工作中的经费保障。</w:t>
      </w:r>
    </w:p>
    <w:p w14:paraId="2F5D595B">
      <w:pPr>
        <w:spacing w:line="600" w:lineRule="exact"/>
        <w:ind w:firstLine="632" w:firstLineChars="200"/>
        <w:rPr>
          <w:rFonts w:eastAsia="方正仿宋简体"/>
          <w:sz w:val="32"/>
          <w:szCs w:val="32"/>
        </w:rPr>
      </w:pPr>
      <w:r>
        <w:rPr>
          <w:rFonts w:hint="eastAsia" w:eastAsia="方正仿宋简体"/>
          <w:sz w:val="32"/>
          <w:szCs w:val="32"/>
        </w:rPr>
        <w:t>县纪委监委</w:t>
      </w:r>
      <w:r>
        <w:rPr>
          <w:rFonts w:eastAsia="方正仿宋简体"/>
          <w:sz w:val="32"/>
          <w:szCs w:val="32"/>
        </w:rPr>
        <w:t>：负责对较大突发环境事件中存在失职、渎职等行为的公职人员和行政机关任命的其他人员进行调查，并追究有关单位和责任人的责任。</w:t>
      </w:r>
    </w:p>
    <w:p w14:paraId="72BE5E3C">
      <w:pPr>
        <w:spacing w:line="600" w:lineRule="exact"/>
        <w:ind w:firstLine="632" w:firstLineChars="200"/>
        <w:rPr>
          <w:rFonts w:eastAsia="方正仿宋简体"/>
          <w:sz w:val="32"/>
          <w:szCs w:val="32"/>
        </w:rPr>
      </w:pPr>
      <w:r>
        <w:rPr>
          <w:rFonts w:eastAsia="方正仿宋简体"/>
          <w:sz w:val="32"/>
          <w:szCs w:val="32"/>
        </w:rPr>
        <w:t>县委宣传部：根据突发环境事件应急指挥部安排，负责开展应急新闻报道，正确引导舆论。</w:t>
      </w:r>
    </w:p>
    <w:p w14:paraId="78AE418D">
      <w:pPr>
        <w:spacing w:line="600" w:lineRule="exact"/>
        <w:ind w:firstLine="632" w:firstLineChars="200"/>
        <w:rPr>
          <w:rFonts w:eastAsia="方正仿宋简体"/>
          <w:sz w:val="32"/>
          <w:szCs w:val="32"/>
        </w:rPr>
      </w:pPr>
      <w:r>
        <w:rPr>
          <w:rFonts w:eastAsia="方正仿宋简体"/>
          <w:sz w:val="32"/>
          <w:szCs w:val="32"/>
        </w:rPr>
        <w:t xml:space="preserve">其他责任部门：指挥部根据事故现场救援需要和相关部门职责，确定参加事故现场处置和救援的部门，共同做好事故现场的处置和各项救援工作。 </w:t>
      </w:r>
    </w:p>
    <w:p w14:paraId="35002A8C">
      <w:pPr>
        <w:spacing w:line="600" w:lineRule="exact"/>
        <w:ind w:firstLine="632" w:firstLineChars="200"/>
        <w:rPr>
          <w:rFonts w:eastAsia="方正黑体简体"/>
          <w:sz w:val="32"/>
          <w:szCs w:val="32"/>
        </w:rPr>
      </w:pPr>
      <w:bookmarkStart w:id="33" w:name="_Toc393274648"/>
      <w:bookmarkStart w:id="34" w:name="_Toc375899824"/>
      <w:r>
        <w:rPr>
          <w:rFonts w:eastAsia="方正黑体简体"/>
          <w:sz w:val="32"/>
          <w:szCs w:val="32"/>
        </w:rPr>
        <w:t xml:space="preserve">3 </w:t>
      </w:r>
      <w:r>
        <w:rPr>
          <w:rFonts w:hint="eastAsia" w:eastAsia="方正黑体简体"/>
          <w:sz w:val="32"/>
          <w:szCs w:val="32"/>
        </w:rPr>
        <w:t xml:space="preserve"> </w:t>
      </w:r>
      <w:r>
        <w:rPr>
          <w:rFonts w:eastAsia="方正黑体简体"/>
          <w:sz w:val="32"/>
          <w:szCs w:val="32"/>
        </w:rPr>
        <w:t>预防与预警</w:t>
      </w:r>
      <w:bookmarkEnd w:id="33"/>
      <w:bookmarkEnd w:id="34"/>
    </w:p>
    <w:p w14:paraId="474C9A09">
      <w:pPr>
        <w:spacing w:line="600" w:lineRule="exact"/>
        <w:ind w:firstLine="632" w:firstLineChars="200"/>
        <w:rPr>
          <w:rFonts w:eastAsia="方正楷体简体"/>
          <w:sz w:val="32"/>
          <w:szCs w:val="32"/>
        </w:rPr>
      </w:pPr>
      <w:bookmarkStart w:id="35" w:name="_Toc393274649"/>
      <w:bookmarkStart w:id="36" w:name="_Toc375899825"/>
      <w:r>
        <w:rPr>
          <w:rFonts w:eastAsia="方正楷体简体"/>
          <w:sz w:val="32"/>
          <w:szCs w:val="32"/>
        </w:rPr>
        <w:t>3.1预警分级与预警发布</w:t>
      </w:r>
      <w:bookmarkEnd w:id="35"/>
      <w:bookmarkEnd w:id="36"/>
    </w:p>
    <w:p w14:paraId="1D9F2D2F">
      <w:pPr>
        <w:spacing w:line="600" w:lineRule="exact"/>
        <w:ind w:firstLine="632" w:firstLineChars="200"/>
        <w:rPr>
          <w:rFonts w:eastAsia="方正仿宋简体"/>
          <w:sz w:val="32"/>
          <w:szCs w:val="32"/>
        </w:rPr>
      </w:pPr>
      <w:r>
        <w:rPr>
          <w:rFonts w:eastAsia="方正仿宋简体"/>
          <w:sz w:val="32"/>
          <w:szCs w:val="32"/>
        </w:rPr>
        <w:t>根据突发环境事件等级、严重性、紧急程度和可能影响的范围，突发环境事件的预警分为四级，预警级别由高到低，分别为Ⅰ级、Ⅱ级、Ⅲ级和Ⅳ级警报，颜色依次为红色、橙色、黄色和蓝色。</w:t>
      </w:r>
    </w:p>
    <w:p w14:paraId="38980FF8">
      <w:pPr>
        <w:spacing w:line="600" w:lineRule="exact"/>
        <w:ind w:firstLine="632" w:firstLineChars="200"/>
        <w:rPr>
          <w:rFonts w:eastAsia="方正仿宋简体"/>
          <w:sz w:val="32"/>
          <w:szCs w:val="32"/>
        </w:rPr>
      </w:pPr>
      <w:r>
        <w:rPr>
          <w:rFonts w:eastAsia="方正仿宋简体"/>
          <w:b/>
          <w:sz w:val="32"/>
          <w:szCs w:val="32"/>
        </w:rPr>
        <w:t>红色（Ⅰ级）预警：</w:t>
      </w:r>
      <w:r>
        <w:rPr>
          <w:rFonts w:eastAsia="方正仿宋简体"/>
          <w:sz w:val="32"/>
          <w:szCs w:val="32"/>
        </w:rPr>
        <w:t>情况危急，可能发生或引发特别重大突发环境事件的；或事件已经发生，可能进一步扩大影响范围，造成重大危害的。红色预警由国务院或者省政府根据国务院授权负责发布。</w:t>
      </w:r>
    </w:p>
    <w:p w14:paraId="195863A4">
      <w:pPr>
        <w:spacing w:line="600" w:lineRule="exact"/>
        <w:ind w:firstLine="632" w:firstLineChars="200"/>
        <w:rPr>
          <w:rFonts w:eastAsia="方正仿宋简体"/>
          <w:sz w:val="32"/>
          <w:szCs w:val="32"/>
        </w:rPr>
      </w:pPr>
      <w:r>
        <w:rPr>
          <w:rFonts w:eastAsia="方正仿宋简体"/>
          <w:b/>
          <w:sz w:val="32"/>
          <w:szCs w:val="32"/>
        </w:rPr>
        <w:t>橙色（Ⅱ级）预警：</w:t>
      </w:r>
      <w:r>
        <w:rPr>
          <w:rFonts w:eastAsia="方正仿宋简体"/>
          <w:sz w:val="32"/>
          <w:szCs w:val="32"/>
        </w:rPr>
        <w:t>情况紧急，可能发生或引发重大突发环境事件的；或事件已经发生，可能进一步扩大影响范围，造成更大危害的。橙色预警由省政府或者市政府根据省政府授权负责发布。</w:t>
      </w:r>
    </w:p>
    <w:p w14:paraId="217F0B60">
      <w:pPr>
        <w:spacing w:line="600" w:lineRule="exact"/>
        <w:ind w:firstLine="632" w:firstLineChars="200"/>
        <w:rPr>
          <w:rFonts w:eastAsia="方正仿宋简体"/>
          <w:sz w:val="32"/>
          <w:szCs w:val="32"/>
        </w:rPr>
      </w:pPr>
      <w:r>
        <w:rPr>
          <w:rFonts w:eastAsia="方正仿宋简体"/>
          <w:b/>
          <w:sz w:val="32"/>
          <w:szCs w:val="32"/>
        </w:rPr>
        <w:t>黄色（Ⅲ级）预警：</w:t>
      </w:r>
      <w:r>
        <w:rPr>
          <w:rFonts w:eastAsia="方正仿宋简体"/>
          <w:sz w:val="32"/>
          <w:szCs w:val="32"/>
        </w:rPr>
        <w:t>情况比较紧急，可能发生或引发较大突发环境事件的；或事件已经发生，可能进一步扩大影响范围，造成较大危害的。黄色预警由市政府或者县政府根据市政府授权负责发布，并报省政府和省环保厅备案。</w:t>
      </w:r>
    </w:p>
    <w:p w14:paraId="577F8917">
      <w:pPr>
        <w:spacing w:line="600" w:lineRule="exact"/>
        <w:ind w:firstLine="632" w:firstLineChars="200"/>
        <w:rPr>
          <w:rFonts w:eastAsia="方正仿宋简体"/>
          <w:sz w:val="32"/>
          <w:szCs w:val="32"/>
        </w:rPr>
      </w:pPr>
      <w:r>
        <w:rPr>
          <w:rFonts w:eastAsia="方正仿宋简体"/>
          <w:b/>
          <w:sz w:val="32"/>
          <w:szCs w:val="32"/>
        </w:rPr>
        <w:t>蓝色（Ⅳ级）预警：</w:t>
      </w:r>
      <w:r>
        <w:rPr>
          <w:rFonts w:eastAsia="方正仿宋简体"/>
          <w:sz w:val="32"/>
          <w:szCs w:val="32"/>
        </w:rPr>
        <w:t>存在较大环境安全隐患，可能发生或引发突发环境事件的；或事件已经发生，可能进一步扩大影响范围，造成公共危害的。蓝色预警由县政府负责发布，并报市政府和市环保局备案。</w:t>
      </w:r>
    </w:p>
    <w:p w14:paraId="4289E4EA">
      <w:pPr>
        <w:spacing w:line="600" w:lineRule="exact"/>
        <w:ind w:firstLine="632" w:firstLineChars="200"/>
        <w:rPr>
          <w:rFonts w:eastAsia="方正楷体简体"/>
          <w:sz w:val="32"/>
          <w:szCs w:val="32"/>
        </w:rPr>
      </w:pPr>
      <w:bookmarkStart w:id="37" w:name="_Toc375899826"/>
      <w:bookmarkStart w:id="38" w:name="_Toc393274650"/>
      <w:r>
        <w:rPr>
          <w:rFonts w:eastAsia="方正楷体简体"/>
          <w:sz w:val="32"/>
          <w:szCs w:val="32"/>
        </w:rPr>
        <w:t>3.2预警信息与监控</w:t>
      </w:r>
      <w:bookmarkEnd w:id="37"/>
      <w:bookmarkEnd w:id="38"/>
    </w:p>
    <w:p w14:paraId="07F3DDCD">
      <w:pPr>
        <w:spacing w:line="600" w:lineRule="exact"/>
        <w:ind w:firstLine="632" w:firstLineChars="200"/>
        <w:rPr>
          <w:rFonts w:eastAsia="方正仿宋简体"/>
          <w:sz w:val="32"/>
          <w:szCs w:val="32"/>
        </w:rPr>
      </w:pPr>
      <w:r>
        <w:rPr>
          <w:rFonts w:eastAsia="方正仿宋简体"/>
          <w:sz w:val="32"/>
          <w:szCs w:val="32"/>
        </w:rPr>
        <w:t>⑴任何部门、单位和公民一旦发现洞天岩水库、下村洋水库、马岩水库、双溪水库(在建)以及各乡镇集中式饮用水源保护区发现污染事故或接到污染事故报告后，应当立即拨打环保热线投诉值班电话12369或110，并通知县应急处置指挥部办公室。</w:t>
      </w:r>
    </w:p>
    <w:p w14:paraId="2DEC0EE2">
      <w:pPr>
        <w:spacing w:line="600" w:lineRule="exact"/>
        <w:ind w:firstLine="632" w:firstLineChars="200"/>
        <w:rPr>
          <w:rFonts w:eastAsia="方正仿宋简体"/>
          <w:sz w:val="32"/>
          <w:szCs w:val="32"/>
        </w:rPr>
      </w:pPr>
      <w:r>
        <w:rPr>
          <w:rFonts w:eastAsia="方正仿宋简体"/>
          <w:sz w:val="32"/>
          <w:szCs w:val="32"/>
        </w:rPr>
        <w:t>⑵各应急单位应按照早发现、早报告、早处置的原则，开展对水文、水质、气象和环境质量等监测数据的综合分析、风险评估工作。</w:t>
      </w:r>
    </w:p>
    <w:p w14:paraId="7E0E0F10">
      <w:pPr>
        <w:spacing w:line="600" w:lineRule="exact"/>
        <w:ind w:firstLine="632" w:firstLineChars="200"/>
        <w:rPr>
          <w:rFonts w:eastAsia="方正仿宋简体"/>
          <w:sz w:val="32"/>
          <w:szCs w:val="32"/>
        </w:rPr>
      </w:pPr>
      <w:r>
        <w:rPr>
          <w:rFonts w:eastAsia="方正仿宋简体"/>
          <w:sz w:val="32"/>
          <w:szCs w:val="32"/>
        </w:rPr>
        <w:t>⑶县应急处置指挥部办公室收集或接到有关预警信息后，综合评估事件可能造成的影响和危害，研究判断预警信息，并将相关信息立即报告县政府，做出与预警信息相应的处置决定。</w:t>
      </w:r>
    </w:p>
    <w:p w14:paraId="013DFD9D">
      <w:pPr>
        <w:spacing w:line="600" w:lineRule="exact"/>
        <w:ind w:firstLine="632" w:firstLineChars="200"/>
        <w:rPr>
          <w:rFonts w:eastAsia="方正楷体简体"/>
          <w:sz w:val="32"/>
          <w:szCs w:val="32"/>
        </w:rPr>
      </w:pPr>
      <w:bookmarkStart w:id="39" w:name="_Toc375899827"/>
      <w:bookmarkStart w:id="40" w:name="_Toc393274651"/>
      <w:r>
        <w:rPr>
          <w:rFonts w:eastAsia="方正楷体简体"/>
          <w:sz w:val="32"/>
          <w:szCs w:val="32"/>
        </w:rPr>
        <w:t>3.3预警措施</w:t>
      </w:r>
      <w:bookmarkEnd w:id="39"/>
      <w:bookmarkEnd w:id="40"/>
    </w:p>
    <w:p w14:paraId="573F08D2">
      <w:pPr>
        <w:spacing w:line="600" w:lineRule="exact"/>
        <w:ind w:firstLine="632" w:firstLineChars="200"/>
        <w:rPr>
          <w:rFonts w:eastAsia="方正仿宋简体"/>
          <w:sz w:val="32"/>
          <w:szCs w:val="32"/>
        </w:rPr>
      </w:pPr>
      <w:r>
        <w:rPr>
          <w:rFonts w:eastAsia="方正仿宋简体"/>
          <w:sz w:val="32"/>
          <w:szCs w:val="32"/>
        </w:rPr>
        <w:t>接到洞天岩水库、下村洋水库、马岩水库、双溪水库(在建)和各乡</w:t>
      </w:r>
      <w:r>
        <w:rPr>
          <w:rFonts w:hint="eastAsia" w:eastAsia="方正仿宋简体"/>
          <w:sz w:val="32"/>
          <w:szCs w:val="32"/>
        </w:rPr>
        <w:t>（</w:t>
      </w:r>
      <w:r>
        <w:rPr>
          <w:rFonts w:eastAsia="方正仿宋简体"/>
          <w:sz w:val="32"/>
          <w:szCs w:val="32"/>
        </w:rPr>
        <w:t>镇</w:t>
      </w:r>
      <w:r>
        <w:rPr>
          <w:rFonts w:hint="eastAsia" w:eastAsia="方正仿宋简体"/>
          <w:sz w:val="32"/>
          <w:szCs w:val="32"/>
        </w:rPr>
        <w:t>、街道）</w:t>
      </w:r>
      <w:r>
        <w:rPr>
          <w:rFonts w:eastAsia="方正仿宋简体"/>
          <w:sz w:val="32"/>
          <w:szCs w:val="32"/>
        </w:rPr>
        <w:t>集中式饮用水源保护区突发环境事件，即将发生或者发生的可能性增大的预警信息时，环境应急指挥机构应及时核实信息，适时采取以下措施：</w:t>
      </w:r>
    </w:p>
    <w:p w14:paraId="779BEBB2">
      <w:pPr>
        <w:spacing w:line="600" w:lineRule="exact"/>
        <w:ind w:firstLine="632" w:firstLineChars="200"/>
        <w:rPr>
          <w:rFonts w:eastAsia="方正仿宋简体"/>
          <w:sz w:val="32"/>
          <w:szCs w:val="32"/>
        </w:rPr>
      </w:pPr>
      <w:r>
        <w:rPr>
          <w:rFonts w:eastAsia="方正仿宋简体"/>
          <w:sz w:val="32"/>
          <w:szCs w:val="32"/>
        </w:rPr>
        <w:t>⑴发布预警公告；</w:t>
      </w:r>
    </w:p>
    <w:p w14:paraId="1F97908A">
      <w:pPr>
        <w:spacing w:line="600" w:lineRule="exact"/>
        <w:ind w:firstLine="632" w:firstLineChars="200"/>
        <w:rPr>
          <w:rFonts w:eastAsia="方正仿宋简体"/>
          <w:sz w:val="32"/>
          <w:szCs w:val="32"/>
        </w:rPr>
      </w:pPr>
      <w:r>
        <w:rPr>
          <w:rFonts w:eastAsia="方正仿宋简体"/>
          <w:sz w:val="32"/>
          <w:szCs w:val="32"/>
        </w:rPr>
        <w:t>⑵启动相关应急预案；</w:t>
      </w:r>
    </w:p>
    <w:p w14:paraId="1BE92FB2">
      <w:pPr>
        <w:spacing w:line="600" w:lineRule="exact"/>
        <w:ind w:firstLine="632" w:firstLineChars="200"/>
        <w:rPr>
          <w:rFonts w:eastAsia="方正仿宋简体"/>
          <w:sz w:val="32"/>
          <w:szCs w:val="32"/>
        </w:rPr>
      </w:pPr>
      <w:r>
        <w:rPr>
          <w:rFonts w:eastAsia="方正仿宋简体"/>
          <w:sz w:val="32"/>
          <w:szCs w:val="32"/>
        </w:rPr>
        <w:t>⑶指令各应急处置队伍进入应急状态，监测部门立即开展应急监测，密切注意水文、水质和气象条件的变化对沙溪或各支流水质的影响，随时掌握并报告事态进展情况；</w:t>
      </w:r>
    </w:p>
    <w:p w14:paraId="06764CF8">
      <w:pPr>
        <w:spacing w:line="600" w:lineRule="exact"/>
        <w:ind w:firstLine="632" w:firstLineChars="200"/>
        <w:rPr>
          <w:rFonts w:eastAsia="方正仿宋简体"/>
          <w:sz w:val="32"/>
          <w:szCs w:val="32"/>
        </w:rPr>
      </w:pPr>
      <w:r>
        <w:rPr>
          <w:rFonts w:eastAsia="方正仿宋简体"/>
          <w:sz w:val="32"/>
          <w:szCs w:val="32"/>
        </w:rPr>
        <w:t>⑷组织有关部门和机构、专业技术人员及专家，随时对突发事件信息进行分析评估，预测发生突发环境事件可能性的大小、影响范围和强度以及可能发生的突发环境事件的级别；</w:t>
      </w:r>
    </w:p>
    <w:p w14:paraId="2C354BB5">
      <w:pPr>
        <w:spacing w:line="600" w:lineRule="exact"/>
        <w:ind w:firstLine="632" w:firstLineChars="200"/>
        <w:rPr>
          <w:rFonts w:eastAsia="方正仿宋简体"/>
          <w:sz w:val="32"/>
          <w:szCs w:val="32"/>
        </w:rPr>
      </w:pPr>
      <w:r>
        <w:rPr>
          <w:rFonts w:eastAsia="方正仿宋简体"/>
          <w:sz w:val="32"/>
          <w:szCs w:val="32"/>
        </w:rPr>
        <w:t>⑸及时按照有关规定向社会发布可能受到突发环境事件危害的警告，宣传避免和减轻危害的常识，公布咨询电话。</w:t>
      </w:r>
    </w:p>
    <w:p w14:paraId="38F29535">
      <w:pPr>
        <w:spacing w:line="600" w:lineRule="exact"/>
        <w:ind w:firstLine="632" w:firstLineChars="200"/>
        <w:rPr>
          <w:rFonts w:eastAsia="方正仿宋简体"/>
          <w:sz w:val="32"/>
          <w:szCs w:val="32"/>
        </w:rPr>
      </w:pPr>
      <w:r>
        <w:rPr>
          <w:rFonts w:eastAsia="方正仿宋简体"/>
          <w:sz w:val="32"/>
          <w:szCs w:val="32"/>
        </w:rPr>
        <w:t>⑹通知水厂采取停水、减压供水、改路供水等措施，做好后备水源启动等相关准备工作；</w:t>
      </w:r>
    </w:p>
    <w:p w14:paraId="112D06D8">
      <w:pPr>
        <w:spacing w:line="600" w:lineRule="exact"/>
        <w:ind w:firstLine="632" w:firstLineChars="200"/>
        <w:rPr>
          <w:rFonts w:eastAsia="方正仿宋简体"/>
          <w:spacing w:val="-6"/>
          <w:sz w:val="32"/>
          <w:szCs w:val="32"/>
        </w:rPr>
      </w:pPr>
      <w:r>
        <w:rPr>
          <w:rFonts w:eastAsia="方正仿宋简体"/>
          <w:sz w:val="32"/>
          <w:szCs w:val="32"/>
        </w:rPr>
        <w:t>⑺</w:t>
      </w:r>
      <w:r>
        <w:rPr>
          <w:rFonts w:eastAsia="方正仿宋简体"/>
          <w:spacing w:val="-6"/>
          <w:sz w:val="32"/>
          <w:szCs w:val="32"/>
        </w:rPr>
        <w:t>调集应急处置所需物资和设备，做好应急处置的保障工作。</w:t>
      </w:r>
    </w:p>
    <w:p w14:paraId="053913A7">
      <w:pPr>
        <w:spacing w:line="600" w:lineRule="exact"/>
        <w:ind w:firstLine="632" w:firstLineChars="200"/>
        <w:rPr>
          <w:rFonts w:eastAsia="方正楷体简体"/>
          <w:sz w:val="32"/>
          <w:szCs w:val="32"/>
        </w:rPr>
      </w:pPr>
      <w:bookmarkStart w:id="41" w:name="_Toc375899828"/>
      <w:bookmarkStart w:id="42" w:name="_Toc393274652"/>
      <w:r>
        <w:rPr>
          <w:rFonts w:eastAsia="方正楷体简体"/>
          <w:sz w:val="32"/>
          <w:szCs w:val="32"/>
        </w:rPr>
        <w:t>3.4预警报告</w:t>
      </w:r>
      <w:bookmarkEnd w:id="41"/>
      <w:bookmarkEnd w:id="42"/>
    </w:p>
    <w:p w14:paraId="5AED380E">
      <w:pPr>
        <w:spacing w:line="600" w:lineRule="exact"/>
        <w:ind w:firstLine="632" w:firstLineChars="200"/>
        <w:rPr>
          <w:rFonts w:eastAsia="方正仿宋简体"/>
          <w:sz w:val="32"/>
          <w:szCs w:val="32"/>
        </w:rPr>
      </w:pPr>
      <w:r>
        <w:rPr>
          <w:rFonts w:eastAsia="方正仿宋简体"/>
          <w:sz w:val="32"/>
          <w:szCs w:val="32"/>
        </w:rPr>
        <w:t>当发布突发环境事件预警的人民政府根据事态的发展情况和采取措施的效果适时调整预警级别并重新发布时，应急指挥部办公室应同时调整相应的预警级别。</w:t>
      </w:r>
    </w:p>
    <w:p w14:paraId="26642423">
      <w:pPr>
        <w:spacing w:line="600" w:lineRule="exact"/>
        <w:ind w:firstLine="632" w:firstLineChars="200"/>
        <w:rPr>
          <w:rFonts w:eastAsia="方正仿宋简体"/>
          <w:sz w:val="32"/>
          <w:szCs w:val="32"/>
        </w:rPr>
      </w:pPr>
      <w:r>
        <w:rPr>
          <w:rFonts w:eastAsia="方正仿宋简体"/>
          <w:sz w:val="32"/>
          <w:szCs w:val="32"/>
        </w:rPr>
        <w:t>有事实证明不可能发生突发环境事件或者危险已经解除的，已发布预警的人民政府应当立即宣布解除预警，终止预警期，并解除已采取的相关措施。</w:t>
      </w:r>
    </w:p>
    <w:p w14:paraId="23FA7F4F">
      <w:pPr>
        <w:spacing w:line="600" w:lineRule="exact"/>
        <w:ind w:firstLine="632" w:firstLineChars="200"/>
        <w:rPr>
          <w:rFonts w:eastAsia="方正楷体简体"/>
          <w:sz w:val="32"/>
          <w:szCs w:val="32"/>
        </w:rPr>
      </w:pPr>
      <w:bookmarkStart w:id="43" w:name="_Toc393274653"/>
      <w:bookmarkStart w:id="44" w:name="_Toc375899829"/>
      <w:r>
        <w:rPr>
          <w:rFonts w:eastAsia="方正楷体简体"/>
          <w:sz w:val="32"/>
          <w:szCs w:val="32"/>
        </w:rPr>
        <w:t>3.5 预防工作</w:t>
      </w:r>
      <w:bookmarkEnd w:id="43"/>
      <w:bookmarkEnd w:id="44"/>
      <w:r>
        <w:rPr>
          <w:rFonts w:eastAsia="方正楷体简体"/>
          <w:sz w:val="32"/>
          <w:szCs w:val="32"/>
        </w:rPr>
        <w:tab/>
      </w:r>
    </w:p>
    <w:p w14:paraId="0B8C577D">
      <w:pPr>
        <w:spacing w:line="600" w:lineRule="exact"/>
        <w:ind w:firstLine="632" w:firstLineChars="200"/>
        <w:rPr>
          <w:rFonts w:eastAsia="方正仿宋简体"/>
          <w:sz w:val="32"/>
          <w:szCs w:val="32"/>
        </w:rPr>
      </w:pPr>
      <w:r>
        <w:rPr>
          <w:rFonts w:eastAsia="方正仿宋简体"/>
          <w:sz w:val="32"/>
          <w:szCs w:val="32"/>
        </w:rPr>
        <w:t>为有效预防饮用水源地突发环境事件的发生，应急处置指挥部各成员单位及日常管理机构应按照各自职责开展突发环境事件的预防工作。</w:t>
      </w:r>
    </w:p>
    <w:p w14:paraId="6000FCC3">
      <w:pPr>
        <w:spacing w:line="600" w:lineRule="exact"/>
        <w:ind w:firstLine="632" w:firstLineChars="200"/>
        <w:rPr>
          <w:rFonts w:eastAsia="方正仿宋简体"/>
          <w:sz w:val="32"/>
          <w:szCs w:val="32"/>
        </w:rPr>
      </w:pPr>
      <w:r>
        <w:rPr>
          <w:rFonts w:eastAsia="方正仿宋简体"/>
          <w:sz w:val="32"/>
          <w:szCs w:val="32"/>
        </w:rPr>
        <w:t>⑴</w:t>
      </w:r>
      <w:r>
        <w:rPr>
          <w:rFonts w:hint="eastAsia" w:eastAsia="方正仿宋简体"/>
          <w:sz w:val="32"/>
          <w:szCs w:val="32"/>
        </w:rPr>
        <w:t>环</w:t>
      </w:r>
      <w:r>
        <w:rPr>
          <w:rFonts w:eastAsia="方正仿宋简体"/>
          <w:sz w:val="32"/>
          <w:szCs w:val="32"/>
        </w:rPr>
        <w:t>保部门要严格项目准入，对饮用水源有影响的项目坚决不批，实行源头控制，防止新的污染产生和生态破坏；加强日常监管，及时查处环境违法行为，严格禁止在保护区内从事可能污染饮用水源的活动。</w:t>
      </w:r>
    </w:p>
    <w:p w14:paraId="7E491F41">
      <w:pPr>
        <w:spacing w:line="600" w:lineRule="exact"/>
        <w:ind w:firstLine="632" w:firstLineChars="200"/>
        <w:rPr>
          <w:rFonts w:eastAsia="方正仿宋简体"/>
          <w:sz w:val="32"/>
          <w:szCs w:val="32"/>
        </w:rPr>
      </w:pPr>
      <w:r>
        <w:rPr>
          <w:rFonts w:eastAsia="方正仿宋简体"/>
          <w:sz w:val="32"/>
          <w:szCs w:val="32"/>
        </w:rPr>
        <w:t>⑵各乡（镇、街道）要深入宣传，提高水源保护意识。坚持“突出重点和面上普及”相结合，广泛开展饮用水源保护宣传活动。在保护区内各</w:t>
      </w:r>
      <w:r>
        <w:rPr>
          <w:rFonts w:hint="eastAsia" w:eastAsia="方正仿宋简体"/>
          <w:sz w:val="32"/>
          <w:szCs w:val="32"/>
        </w:rPr>
        <w:t>建制</w:t>
      </w:r>
      <w:r>
        <w:rPr>
          <w:rFonts w:eastAsia="方正仿宋简体"/>
          <w:sz w:val="32"/>
          <w:szCs w:val="32"/>
        </w:rPr>
        <w:t>村醒目位置刷写水资源保护标语，宣传水源保护的有关规定。</w:t>
      </w:r>
    </w:p>
    <w:p w14:paraId="2A078614">
      <w:pPr>
        <w:spacing w:line="600" w:lineRule="exact"/>
        <w:ind w:firstLine="632" w:firstLineChars="200"/>
        <w:rPr>
          <w:rFonts w:eastAsia="方正仿宋简体"/>
          <w:sz w:val="32"/>
          <w:szCs w:val="32"/>
        </w:rPr>
      </w:pPr>
      <w:r>
        <w:rPr>
          <w:rFonts w:eastAsia="方正仿宋简体"/>
          <w:sz w:val="32"/>
          <w:szCs w:val="32"/>
        </w:rPr>
        <w:t>⑶各乡（镇、街道）要建立饮用水源地水情巡查制度，及时掌握饮用水源地范围内环境污染情况及存在的环境安全隐患情况，配合关注水库水位，将目标任务、责任分解到具体人员，确保综合整治和管理保护各项措施落到实处。</w:t>
      </w:r>
    </w:p>
    <w:p w14:paraId="02A16177">
      <w:pPr>
        <w:spacing w:line="600" w:lineRule="exact"/>
        <w:ind w:firstLine="632" w:firstLineChars="200"/>
        <w:rPr>
          <w:rFonts w:eastAsia="方正仿宋简体"/>
          <w:sz w:val="32"/>
          <w:szCs w:val="32"/>
        </w:rPr>
      </w:pPr>
      <w:r>
        <w:rPr>
          <w:rFonts w:eastAsia="方正仿宋简体"/>
          <w:sz w:val="32"/>
          <w:szCs w:val="32"/>
        </w:rPr>
        <w:t>⑷公安部门要加强洞天岩水库、下村洋水库、马岩水库、双溪水库和各乡（镇、街道）集中式饮用水水源地周边道路禁止危险化学品运输车辆通行路段的交通管制。</w:t>
      </w:r>
    </w:p>
    <w:p w14:paraId="6171BD5A">
      <w:pPr>
        <w:spacing w:line="600" w:lineRule="exact"/>
        <w:ind w:firstLine="632" w:firstLineChars="200"/>
        <w:rPr>
          <w:rFonts w:eastAsia="方正仿宋简体"/>
          <w:color w:val="000000"/>
          <w:sz w:val="32"/>
          <w:szCs w:val="32"/>
        </w:rPr>
      </w:pPr>
      <w:r>
        <w:rPr>
          <w:rFonts w:eastAsia="方正仿宋简体"/>
          <w:sz w:val="32"/>
          <w:szCs w:val="32"/>
        </w:rPr>
        <w:t>⑸水利部门要合理调配洞天岩水库、下村洋水库、马岩水</w:t>
      </w:r>
      <w:r>
        <w:rPr>
          <w:rFonts w:eastAsia="方正仿宋简体"/>
          <w:color w:val="000000"/>
          <w:sz w:val="32"/>
          <w:szCs w:val="32"/>
        </w:rPr>
        <w:t>库、双溪水库和各乡（镇、街道）集中式饮用水水源地水资源，</w:t>
      </w:r>
      <w:r>
        <w:rPr>
          <w:rFonts w:hint="eastAsia" w:eastAsia="方正仿宋简体"/>
          <w:color w:val="000000"/>
          <w:sz w:val="32"/>
          <w:szCs w:val="32"/>
        </w:rPr>
        <w:t>科学调度合理控制</w:t>
      </w:r>
      <w:r>
        <w:rPr>
          <w:rFonts w:eastAsia="方正仿宋简体"/>
          <w:color w:val="000000"/>
          <w:sz w:val="32"/>
          <w:szCs w:val="32"/>
        </w:rPr>
        <w:t>发电用水，密切关注水库水位，保障枯水季节城市供水需要。</w:t>
      </w:r>
    </w:p>
    <w:p w14:paraId="7E91D160">
      <w:pPr>
        <w:spacing w:line="600" w:lineRule="exact"/>
        <w:ind w:firstLine="632" w:firstLineChars="200"/>
        <w:rPr>
          <w:rFonts w:eastAsia="方正仿宋简体"/>
          <w:sz w:val="32"/>
          <w:szCs w:val="32"/>
        </w:rPr>
      </w:pPr>
      <w:r>
        <w:rPr>
          <w:rFonts w:eastAsia="方正仿宋简体"/>
          <w:sz w:val="32"/>
          <w:szCs w:val="32"/>
        </w:rPr>
        <w:t>⑹林业部门要制定水源保护区生态林建设方案，合理规划自然保护区，巩固提高生态公益林和</w:t>
      </w:r>
      <w:r>
        <w:rPr>
          <w:rFonts w:hint="eastAsia" w:eastAsia="方正仿宋简体"/>
          <w:sz w:val="32"/>
          <w:szCs w:val="32"/>
          <w:lang w:eastAsia="zh-CN"/>
        </w:rPr>
        <w:t>自然保护区</w:t>
      </w:r>
      <w:r>
        <w:rPr>
          <w:rFonts w:eastAsia="方正仿宋简体"/>
          <w:sz w:val="32"/>
          <w:szCs w:val="32"/>
        </w:rPr>
        <w:t>建设，确保保护区内森林覆盖率；严格控制林木砍伐，指导农民毛竹林施肥技术，减少面源污染。</w:t>
      </w:r>
    </w:p>
    <w:p w14:paraId="42BBFC5F">
      <w:pPr>
        <w:spacing w:line="600" w:lineRule="exact"/>
        <w:ind w:firstLine="632" w:firstLineChars="200"/>
        <w:rPr>
          <w:rFonts w:eastAsia="方正仿宋简体"/>
          <w:spacing w:val="-4"/>
          <w:sz w:val="32"/>
          <w:szCs w:val="32"/>
        </w:rPr>
      </w:pPr>
      <w:r>
        <w:rPr>
          <w:rFonts w:eastAsia="方正仿宋简体"/>
          <w:sz w:val="32"/>
          <w:szCs w:val="32"/>
        </w:rPr>
        <w:t>⑺</w:t>
      </w:r>
      <w:r>
        <w:rPr>
          <w:rFonts w:eastAsia="方正仿宋简体"/>
          <w:spacing w:val="-4"/>
          <w:sz w:val="32"/>
          <w:szCs w:val="32"/>
        </w:rPr>
        <w:t>农业部门要大力推广农用沼气池建设和农作物水改旱，发展生态农业，引导农民使用有机肥、生物肥和低毒低残留农药；严控保护区内畜禽养殖业的发展，采取措施防治养殖业污染。</w:t>
      </w:r>
    </w:p>
    <w:p w14:paraId="2DF25EDC">
      <w:pPr>
        <w:spacing w:line="600" w:lineRule="exact"/>
        <w:ind w:firstLine="632" w:firstLineChars="200"/>
        <w:rPr>
          <w:rFonts w:eastAsia="方正仿宋简体"/>
          <w:sz w:val="32"/>
          <w:szCs w:val="32"/>
        </w:rPr>
      </w:pPr>
      <w:r>
        <w:rPr>
          <w:rFonts w:eastAsia="方正仿宋简体"/>
          <w:sz w:val="32"/>
          <w:szCs w:val="32"/>
        </w:rPr>
        <w:t>⑻住建部门要着力解决保护区生活垃圾随意堆放的问题，加强垃圾集中清运工作；规划新村建设生活污水的集中处理。</w:t>
      </w:r>
    </w:p>
    <w:p w14:paraId="1BD363C0">
      <w:pPr>
        <w:spacing w:line="600" w:lineRule="exact"/>
        <w:ind w:firstLine="632" w:firstLineChars="200"/>
        <w:rPr>
          <w:rFonts w:eastAsia="方正仿宋简体"/>
          <w:sz w:val="32"/>
          <w:szCs w:val="32"/>
        </w:rPr>
      </w:pPr>
      <w:r>
        <w:rPr>
          <w:rFonts w:eastAsia="方正仿宋简体"/>
          <w:sz w:val="32"/>
          <w:szCs w:val="32"/>
        </w:rPr>
        <w:t>⑼</w:t>
      </w:r>
      <w:r>
        <w:rPr>
          <w:rFonts w:hint="eastAsia" w:eastAsia="方正仿宋简体"/>
          <w:sz w:val="32"/>
          <w:szCs w:val="32"/>
          <w:lang w:eastAsia="zh-CN"/>
        </w:rPr>
        <w:t>交通运输部</w:t>
      </w:r>
      <w:r>
        <w:rPr>
          <w:rFonts w:eastAsia="方正仿宋简体"/>
          <w:sz w:val="32"/>
          <w:szCs w:val="32"/>
        </w:rPr>
        <w:t>门指导公路部门在水源保护区范围内的危险路段负责设置公路防撞栏；对水源保护区内公路进行定期养护。</w:t>
      </w:r>
    </w:p>
    <w:p w14:paraId="6B1C5072">
      <w:pPr>
        <w:spacing w:line="600" w:lineRule="exact"/>
        <w:ind w:firstLine="632" w:firstLineChars="200"/>
        <w:rPr>
          <w:rFonts w:eastAsia="方正仿宋简体"/>
          <w:sz w:val="32"/>
          <w:szCs w:val="32"/>
        </w:rPr>
      </w:pPr>
      <w:r>
        <w:rPr>
          <w:rFonts w:eastAsia="方正仿宋简体"/>
          <w:sz w:val="32"/>
          <w:szCs w:val="32"/>
        </w:rPr>
        <w:t>⑽卫生部门要加强饮用水的卫生安全监督监测，配合开展与人体健康相关的污染物毒性分析和相关病原体的检测与管理，防止和控制传播蔓延等。</w:t>
      </w:r>
    </w:p>
    <w:p w14:paraId="74079C94">
      <w:pPr>
        <w:spacing w:line="600" w:lineRule="exact"/>
        <w:ind w:firstLine="632" w:firstLineChars="200"/>
        <w:rPr>
          <w:rFonts w:eastAsia="方正仿宋简体"/>
          <w:sz w:val="32"/>
          <w:szCs w:val="32"/>
        </w:rPr>
      </w:pPr>
      <w:r>
        <w:rPr>
          <w:rFonts w:eastAsia="方正仿宋简体"/>
          <w:sz w:val="32"/>
          <w:szCs w:val="32"/>
        </w:rPr>
        <w:t>⑾气象部门要加强气候的监测和预报，及时提供气象资料。</w:t>
      </w:r>
    </w:p>
    <w:p w14:paraId="7D2474E3">
      <w:pPr>
        <w:spacing w:line="600" w:lineRule="exact"/>
        <w:ind w:firstLine="632" w:firstLineChars="200"/>
        <w:rPr>
          <w:rFonts w:eastAsia="方正仿宋简体"/>
          <w:sz w:val="32"/>
          <w:szCs w:val="32"/>
        </w:rPr>
      </w:pPr>
      <w:r>
        <w:rPr>
          <w:rFonts w:eastAsia="方正仿宋简体"/>
          <w:sz w:val="32"/>
          <w:szCs w:val="32"/>
        </w:rPr>
        <w:t>⑿</w:t>
      </w:r>
      <w:r>
        <w:rPr>
          <w:rFonts w:hint="eastAsia" w:eastAsia="方正仿宋简体"/>
          <w:sz w:val="32"/>
          <w:szCs w:val="32"/>
        </w:rPr>
        <w:t>水务</w:t>
      </w:r>
      <w:r>
        <w:rPr>
          <w:rFonts w:eastAsia="方正仿宋简体"/>
          <w:sz w:val="32"/>
          <w:szCs w:val="32"/>
        </w:rPr>
        <w:t>公司要加强源水水质监测工作，安装水质在线监测系统。</w:t>
      </w:r>
    </w:p>
    <w:p w14:paraId="45BCF6BA">
      <w:pPr>
        <w:spacing w:line="600" w:lineRule="exact"/>
        <w:ind w:firstLine="632" w:firstLineChars="200"/>
        <w:rPr>
          <w:rFonts w:eastAsia="方正黑体简体"/>
          <w:sz w:val="32"/>
          <w:szCs w:val="32"/>
        </w:rPr>
      </w:pPr>
      <w:bookmarkStart w:id="45" w:name="_Toc393274654"/>
      <w:bookmarkStart w:id="46" w:name="_Toc375899830"/>
      <w:r>
        <w:rPr>
          <w:rFonts w:eastAsia="方正黑体简体"/>
          <w:sz w:val="32"/>
          <w:szCs w:val="32"/>
        </w:rPr>
        <w:t>4 应急处置</w:t>
      </w:r>
      <w:bookmarkEnd w:id="45"/>
      <w:bookmarkEnd w:id="46"/>
    </w:p>
    <w:p w14:paraId="69A87BBB">
      <w:pPr>
        <w:spacing w:line="600" w:lineRule="exact"/>
        <w:ind w:firstLine="632" w:firstLineChars="200"/>
        <w:rPr>
          <w:rFonts w:eastAsia="方正楷体简体"/>
          <w:sz w:val="32"/>
          <w:szCs w:val="32"/>
        </w:rPr>
      </w:pPr>
      <w:bookmarkStart w:id="47" w:name="_Toc393274655"/>
      <w:bookmarkStart w:id="48" w:name="_Toc375899831"/>
      <w:r>
        <w:rPr>
          <w:rFonts w:eastAsia="方正楷体简体"/>
          <w:sz w:val="32"/>
          <w:szCs w:val="32"/>
        </w:rPr>
        <w:t>4.1 分级响应</w:t>
      </w:r>
      <w:bookmarkEnd w:id="47"/>
      <w:bookmarkEnd w:id="48"/>
    </w:p>
    <w:p w14:paraId="6438B7A5">
      <w:pPr>
        <w:spacing w:line="600" w:lineRule="exact"/>
        <w:ind w:firstLine="632" w:firstLineChars="200"/>
        <w:rPr>
          <w:rFonts w:eastAsia="方正仿宋简体"/>
          <w:b/>
          <w:sz w:val="32"/>
          <w:szCs w:val="32"/>
        </w:rPr>
      </w:pPr>
      <w:r>
        <w:rPr>
          <w:rFonts w:eastAsia="方正仿宋简体"/>
          <w:b/>
          <w:sz w:val="32"/>
          <w:szCs w:val="32"/>
        </w:rPr>
        <w:t>4.1.1 分级响应机制</w:t>
      </w:r>
    </w:p>
    <w:p w14:paraId="29C8B21C">
      <w:pPr>
        <w:spacing w:line="600" w:lineRule="exact"/>
        <w:ind w:firstLine="632" w:firstLineChars="200"/>
        <w:rPr>
          <w:rFonts w:eastAsia="方正仿宋简体"/>
          <w:sz w:val="32"/>
          <w:szCs w:val="32"/>
        </w:rPr>
      </w:pPr>
      <w:r>
        <w:rPr>
          <w:rFonts w:eastAsia="方正仿宋简体"/>
          <w:sz w:val="32"/>
          <w:szCs w:val="32"/>
        </w:rPr>
        <w:t>按突发环境事件的可控性、严重程度和影响范围，根据预警级别的划分，突发环境事件的应急响应分为特别重大（Ⅰ级）响应、重大（Ⅱ级）响应、较大（Ⅲ级）响应和一般（Ⅳ级）响应四级，由各级人民政府分级响应。超出本级人民政府应急处置能力时，应及时上报上一级人民政府。在县政府各相关部门要及时根据突发环境事件的可控性、严重程度和影响范围给予相应的指导协调和应急救援。</w:t>
      </w:r>
    </w:p>
    <w:p w14:paraId="12688398">
      <w:pPr>
        <w:spacing w:line="600" w:lineRule="exact"/>
        <w:ind w:firstLine="632" w:firstLineChars="200"/>
        <w:rPr>
          <w:rFonts w:eastAsia="方正仿宋简体"/>
          <w:b/>
          <w:sz w:val="32"/>
          <w:szCs w:val="32"/>
        </w:rPr>
      </w:pPr>
      <w:r>
        <w:rPr>
          <w:rFonts w:eastAsia="方正仿宋简体"/>
          <w:b/>
          <w:sz w:val="32"/>
          <w:szCs w:val="32"/>
        </w:rPr>
        <w:t>4.1.2 分级响应的启动</w:t>
      </w:r>
    </w:p>
    <w:p w14:paraId="7B1FDE97">
      <w:pPr>
        <w:spacing w:line="600" w:lineRule="exact"/>
        <w:ind w:firstLine="632" w:firstLineChars="200"/>
        <w:rPr>
          <w:rFonts w:eastAsia="方正仿宋简体"/>
          <w:b/>
          <w:sz w:val="32"/>
          <w:szCs w:val="32"/>
        </w:rPr>
      </w:pPr>
      <w:r>
        <w:rPr>
          <w:rFonts w:eastAsia="方正仿宋简体"/>
          <w:b/>
          <w:sz w:val="32"/>
          <w:szCs w:val="32"/>
        </w:rPr>
        <w:t>4.1.2.1 特别重大（Ⅰ级）响应及重大（Ⅱ级）响应</w:t>
      </w:r>
    </w:p>
    <w:p w14:paraId="32A4EF54">
      <w:pPr>
        <w:spacing w:line="600" w:lineRule="exact"/>
        <w:ind w:firstLine="632" w:firstLineChars="200"/>
        <w:rPr>
          <w:rFonts w:eastAsia="方正仿宋简体"/>
          <w:sz w:val="32"/>
          <w:szCs w:val="32"/>
        </w:rPr>
      </w:pPr>
      <w:r>
        <w:rPr>
          <w:rFonts w:eastAsia="方正仿宋简体"/>
          <w:sz w:val="32"/>
          <w:szCs w:val="32"/>
        </w:rPr>
        <w:t>发生特别重大或重大突发环境事件时，由国务院负责启动特别重大（Ⅰ级）响应或由福建省人民政府启动重大（Ⅱ级）响应。沙县突发环境事件应急指挥机构组织相关部门人员前往现场开展先期处置，扩大应急后，由省政府应急指挥部领导处置。主要采取下列应急响应措施：</w:t>
      </w:r>
    </w:p>
    <w:p w14:paraId="0EE25D43">
      <w:pPr>
        <w:spacing w:line="600" w:lineRule="exact"/>
        <w:ind w:firstLine="632" w:firstLineChars="200"/>
        <w:rPr>
          <w:rFonts w:eastAsia="方正仿宋简体"/>
          <w:sz w:val="32"/>
          <w:szCs w:val="32"/>
        </w:rPr>
      </w:pPr>
      <w:r>
        <w:rPr>
          <w:rFonts w:eastAsia="方正仿宋简体"/>
          <w:sz w:val="32"/>
          <w:szCs w:val="32"/>
        </w:rPr>
        <w:t>⑴立即报告福建省人民政府、三明市人民政府、福建省环境保护厅及三明市环保局，并通报周边地区。</w:t>
      </w:r>
    </w:p>
    <w:p w14:paraId="6FAF19D7">
      <w:pPr>
        <w:spacing w:line="600" w:lineRule="exact"/>
        <w:ind w:firstLine="632" w:firstLineChars="200"/>
        <w:rPr>
          <w:rFonts w:eastAsia="方正仿宋简体"/>
          <w:sz w:val="32"/>
          <w:szCs w:val="32"/>
        </w:rPr>
      </w:pPr>
      <w:r>
        <w:rPr>
          <w:rFonts w:eastAsia="方正仿宋简体"/>
          <w:sz w:val="32"/>
          <w:szCs w:val="32"/>
        </w:rPr>
        <w:t>⑵成立现场应急指挥部，负责领导和指挥先期应急救援行动，并协调现场应急工作，直到福建省现场环境应急指挥部开始承担并履行职责为止。</w:t>
      </w:r>
    </w:p>
    <w:p w14:paraId="5DD34B76">
      <w:pPr>
        <w:spacing w:line="600" w:lineRule="exact"/>
        <w:ind w:firstLine="632" w:firstLineChars="200"/>
        <w:rPr>
          <w:rFonts w:eastAsia="方正仿宋简体"/>
          <w:sz w:val="32"/>
          <w:szCs w:val="32"/>
        </w:rPr>
      </w:pPr>
      <w:r>
        <w:rPr>
          <w:rFonts w:eastAsia="方正仿宋简体"/>
          <w:sz w:val="32"/>
          <w:szCs w:val="32"/>
        </w:rPr>
        <w:t>⑶开通与福建省环境应急与事故调查中心的通信联系，随时报告突发环境事件变化及应急工作进展情况。</w:t>
      </w:r>
    </w:p>
    <w:p w14:paraId="2F4D7E0E">
      <w:pPr>
        <w:spacing w:line="600" w:lineRule="exact"/>
        <w:ind w:firstLine="632" w:firstLineChars="200"/>
        <w:rPr>
          <w:rFonts w:eastAsia="方正仿宋简体"/>
          <w:b/>
          <w:sz w:val="32"/>
          <w:szCs w:val="32"/>
        </w:rPr>
      </w:pPr>
      <w:r>
        <w:rPr>
          <w:rFonts w:eastAsia="方正仿宋简体"/>
          <w:b/>
          <w:sz w:val="32"/>
          <w:szCs w:val="32"/>
        </w:rPr>
        <w:t>4.1.2.2 较大（Ⅲ级）响应</w:t>
      </w:r>
    </w:p>
    <w:p w14:paraId="121FA0D5">
      <w:pPr>
        <w:spacing w:line="600" w:lineRule="exact"/>
        <w:ind w:firstLine="632" w:firstLineChars="200"/>
        <w:rPr>
          <w:rFonts w:eastAsia="方正仿宋简体"/>
          <w:sz w:val="32"/>
          <w:szCs w:val="32"/>
        </w:rPr>
      </w:pPr>
      <w:r>
        <w:rPr>
          <w:rFonts w:eastAsia="方正仿宋简体"/>
          <w:sz w:val="32"/>
          <w:szCs w:val="32"/>
        </w:rPr>
        <w:t>发生较大突发环境事件时，由三明市人民政府负责启动较大（Ⅲ级）响应。应急指挥机构负责启动突发环境事件的应急处置工作，根据预警信息，采取下列应急处置措施：</w:t>
      </w:r>
    </w:p>
    <w:p w14:paraId="65D5ABAC">
      <w:pPr>
        <w:spacing w:line="600" w:lineRule="exact"/>
        <w:ind w:firstLine="632" w:firstLineChars="200"/>
        <w:rPr>
          <w:rFonts w:eastAsia="方正仿宋简体"/>
          <w:sz w:val="32"/>
          <w:szCs w:val="32"/>
        </w:rPr>
      </w:pPr>
      <w:r>
        <w:rPr>
          <w:rFonts w:eastAsia="方正仿宋简体"/>
          <w:sz w:val="32"/>
          <w:szCs w:val="32"/>
        </w:rPr>
        <w:t>⑴立即报告三明市人民政府及三明市环保局，并通报周边地区。</w:t>
      </w:r>
    </w:p>
    <w:p w14:paraId="136BF18B">
      <w:pPr>
        <w:spacing w:line="600" w:lineRule="exact"/>
        <w:ind w:firstLine="632" w:firstLineChars="200"/>
        <w:rPr>
          <w:rFonts w:eastAsia="方正仿宋简体"/>
          <w:sz w:val="32"/>
          <w:szCs w:val="32"/>
        </w:rPr>
      </w:pPr>
      <w:r>
        <w:rPr>
          <w:rFonts w:eastAsia="方正仿宋简体"/>
          <w:sz w:val="32"/>
          <w:szCs w:val="32"/>
        </w:rPr>
        <w:t>⑵成立现场应急指挥部，负责领导和指挥先期应急救援行动，并协调现场应急工作，直到三明市现场环境应急指挥部开始承担并履行职责为止。</w:t>
      </w:r>
    </w:p>
    <w:p w14:paraId="4BD2F658">
      <w:pPr>
        <w:spacing w:line="600" w:lineRule="exact"/>
        <w:ind w:firstLine="632" w:firstLineChars="200"/>
        <w:rPr>
          <w:rFonts w:eastAsia="方正仿宋简体"/>
          <w:sz w:val="32"/>
          <w:szCs w:val="32"/>
        </w:rPr>
      </w:pPr>
      <w:r>
        <w:rPr>
          <w:rFonts w:eastAsia="方正仿宋简体"/>
          <w:sz w:val="32"/>
          <w:szCs w:val="32"/>
        </w:rPr>
        <w:t>⑶开通与三明市环境应急与事故调查中心的通信联系，随时报告突发环境事件变化及应急工作进展情况</w:t>
      </w:r>
    </w:p>
    <w:p w14:paraId="0A5A15A6">
      <w:pPr>
        <w:spacing w:line="600" w:lineRule="exact"/>
        <w:ind w:firstLine="632" w:firstLineChars="200"/>
        <w:rPr>
          <w:rFonts w:eastAsia="方正仿宋简体"/>
          <w:b/>
          <w:sz w:val="32"/>
          <w:szCs w:val="32"/>
        </w:rPr>
      </w:pPr>
      <w:r>
        <w:rPr>
          <w:rFonts w:eastAsia="方正仿宋简体"/>
          <w:b/>
          <w:sz w:val="32"/>
          <w:szCs w:val="32"/>
        </w:rPr>
        <w:t>4.1.2.3 一般（Ⅳ级）响应</w:t>
      </w:r>
    </w:p>
    <w:p w14:paraId="67A3CD57">
      <w:pPr>
        <w:spacing w:line="600" w:lineRule="exact"/>
        <w:ind w:firstLine="632" w:firstLineChars="200"/>
        <w:rPr>
          <w:rFonts w:eastAsia="方正仿宋简体"/>
          <w:sz w:val="32"/>
          <w:szCs w:val="32"/>
        </w:rPr>
      </w:pPr>
      <w:r>
        <w:rPr>
          <w:rFonts w:eastAsia="方正仿宋简体"/>
          <w:sz w:val="32"/>
          <w:szCs w:val="32"/>
        </w:rPr>
        <w:t>发生一般突发环境事件时，由沙县人民政府负责启动一般（Ⅳ级）响应。应急指挥机构负责启动突发环境事件的应急处置工作，根据预警信息，采取下列应急处置措施：</w:t>
      </w:r>
    </w:p>
    <w:p w14:paraId="57FD79A2">
      <w:pPr>
        <w:spacing w:line="600" w:lineRule="exact"/>
        <w:ind w:firstLine="632" w:firstLineChars="200"/>
        <w:rPr>
          <w:rFonts w:eastAsia="方正仿宋简体"/>
          <w:sz w:val="32"/>
          <w:szCs w:val="32"/>
        </w:rPr>
      </w:pPr>
      <w:r>
        <w:rPr>
          <w:rFonts w:eastAsia="方正仿宋简体"/>
          <w:sz w:val="32"/>
          <w:szCs w:val="32"/>
        </w:rPr>
        <w:t>⑴立即开通与现场应急指挥部、相关专业应急指挥机构的通信联系，随时掌握突发环境事件变化及应急工作进展情况；</w:t>
      </w:r>
    </w:p>
    <w:p w14:paraId="3FFED758">
      <w:pPr>
        <w:spacing w:line="600" w:lineRule="exact"/>
        <w:ind w:firstLine="632" w:firstLineChars="200"/>
        <w:rPr>
          <w:rFonts w:eastAsia="方正仿宋简体"/>
          <w:sz w:val="32"/>
          <w:szCs w:val="32"/>
        </w:rPr>
      </w:pPr>
      <w:r>
        <w:rPr>
          <w:rFonts w:eastAsia="方正仿宋简体"/>
          <w:sz w:val="32"/>
          <w:szCs w:val="32"/>
        </w:rPr>
        <w:t>⑵通知有关专家组成专家组，分析情况。根据专家组的建议，通知相关应急救援力量随时待命，为地方或相关专业应急指挥机构提供技术支持；</w:t>
      </w:r>
    </w:p>
    <w:p w14:paraId="2CCBDFB2">
      <w:pPr>
        <w:spacing w:line="600" w:lineRule="exact"/>
        <w:ind w:firstLine="632" w:firstLineChars="200"/>
        <w:rPr>
          <w:rFonts w:eastAsia="方正仿宋简体"/>
          <w:sz w:val="32"/>
          <w:szCs w:val="32"/>
        </w:rPr>
      </w:pPr>
      <w:r>
        <w:rPr>
          <w:rFonts w:eastAsia="方正仿宋简体"/>
          <w:sz w:val="32"/>
          <w:szCs w:val="32"/>
        </w:rPr>
        <w:t>⑶派出相关应急救援力量和专家赶赴现场参加、指导应急救援，必要时调集事发地周边地区专业应急力量实施增援。</w:t>
      </w:r>
    </w:p>
    <w:p w14:paraId="20FDF43C">
      <w:pPr>
        <w:spacing w:line="600" w:lineRule="exact"/>
        <w:ind w:firstLine="632" w:firstLineChars="200"/>
        <w:rPr>
          <w:rFonts w:eastAsia="方正楷体简体"/>
          <w:sz w:val="32"/>
          <w:szCs w:val="32"/>
        </w:rPr>
      </w:pPr>
      <w:bookmarkStart w:id="49" w:name="_Toc375899832"/>
      <w:bookmarkStart w:id="50" w:name="_Toc393274656"/>
      <w:r>
        <w:rPr>
          <w:rFonts w:eastAsia="方正楷体简体"/>
          <w:sz w:val="32"/>
          <w:szCs w:val="32"/>
        </w:rPr>
        <w:t>4.2 信息报告</w:t>
      </w:r>
      <w:bookmarkEnd w:id="49"/>
      <w:bookmarkEnd w:id="50"/>
    </w:p>
    <w:p w14:paraId="5ABFBCA4">
      <w:pPr>
        <w:spacing w:line="600" w:lineRule="exact"/>
        <w:ind w:firstLine="632" w:firstLineChars="200"/>
        <w:rPr>
          <w:rFonts w:eastAsia="方正仿宋简体"/>
          <w:b/>
          <w:sz w:val="32"/>
          <w:szCs w:val="32"/>
        </w:rPr>
      </w:pPr>
      <w:r>
        <w:rPr>
          <w:rFonts w:eastAsia="方正仿宋简体"/>
          <w:b/>
          <w:sz w:val="32"/>
          <w:szCs w:val="32"/>
        </w:rPr>
        <w:t>4.2.1 突发环境事件报告时限和程序</w:t>
      </w:r>
    </w:p>
    <w:p w14:paraId="1D85EBF0">
      <w:pPr>
        <w:spacing w:line="600" w:lineRule="exact"/>
        <w:ind w:firstLine="616" w:firstLineChars="200"/>
        <w:rPr>
          <w:rFonts w:eastAsia="方正仿宋简体"/>
          <w:spacing w:val="-4"/>
          <w:sz w:val="32"/>
          <w:szCs w:val="32"/>
        </w:rPr>
      </w:pPr>
      <w:r>
        <w:rPr>
          <w:rFonts w:eastAsia="方正仿宋简体"/>
          <w:spacing w:val="-4"/>
          <w:sz w:val="32"/>
          <w:szCs w:val="32"/>
        </w:rPr>
        <w:t>突发环境事件发生地乡（镇、街道）在发现或者得知突发环境事件信息后，应当立即进行核实，并上报县政府或县环保局。</w:t>
      </w:r>
    </w:p>
    <w:p w14:paraId="7558DAE1">
      <w:pPr>
        <w:spacing w:line="600" w:lineRule="exact"/>
        <w:ind w:firstLine="632" w:firstLineChars="200"/>
        <w:rPr>
          <w:rFonts w:eastAsia="方正仿宋简体"/>
          <w:sz w:val="32"/>
          <w:szCs w:val="32"/>
        </w:rPr>
      </w:pPr>
      <w:r>
        <w:rPr>
          <w:rFonts w:eastAsia="方正仿宋简体"/>
          <w:sz w:val="32"/>
          <w:szCs w:val="32"/>
        </w:rPr>
        <w:t xml:space="preserve">对初步认定为一般（IV级）或者较大（III级）突发环境事件的，县环保局应当在四小时内向县政府报告，同时上报三明市环保局。       </w:t>
      </w:r>
    </w:p>
    <w:p w14:paraId="3BD8A9BB">
      <w:pPr>
        <w:spacing w:line="600" w:lineRule="exact"/>
        <w:ind w:firstLine="632" w:firstLineChars="200"/>
        <w:rPr>
          <w:rFonts w:eastAsia="方正仿宋简体"/>
          <w:sz w:val="32"/>
          <w:szCs w:val="32"/>
        </w:rPr>
      </w:pPr>
      <w:r>
        <w:rPr>
          <w:rFonts w:eastAsia="方正仿宋简体"/>
          <w:sz w:val="32"/>
          <w:szCs w:val="32"/>
        </w:rPr>
        <w:t>对初步认定为重大（II级）或者特别重大（I级）突发环境事件的，县环保局应当在两小时内向县政府、三明市环保局和福建省环保厅，同时上报</w:t>
      </w:r>
      <w:r>
        <w:rPr>
          <w:rFonts w:hint="eastAsia" w:eastAsia="方正仿宋简体"/>
          <w:sz w:val="32"/>
          <w:szCs w:val="32"/>
        </w:rPr>
        <w:t>生态环境部</w:t>
      </w:r>
      <w:r>
        <w:rPr>
          <w:rFonts w:eastAsia="方正仿宋简体"/>
          <w:sz w:val="32"/>
          <w:szCs w:val="32"/>
        </w:rPr>
        <w:t>。</w:t>
      </w:r>
    </w:p>
    <w:p w14:paraId="2CCC5BDF">
      <w:pPr>
        <w:spacing w:line="600" w:lineRule="exact"/>
        <w:ind w:firstLine="632" w:firstLineChars="200"/>
        <w:rPr>
          <w:rFonts w:eastAsia="方正仿宋简体"/>
          <w:sz w:val="32"/>
          <w:szCs w:val="32"/>
        </w:rPr>
      </w:pPr>
      <w:r>
        <w:rPr>
          <w:rFonts w:eastAsia="方正仿宋简体"/>
          <w:sz w:val="32"/>
          <w:szCs w:val="32"/>
        </w:rPr>
        <w:t>突发环境事件处置过程中事件级别发生变化的，应当按照变化后的级别报告信息。</w:t>
      </w:r>
    </w:p>
    <w:p w14:paraId="7AABBC51">
      <w:pPr>
        <w:spacing w:line="600" w:lineRule="exact"/>
        <w:ind w:firstLine="632" w:firstLineChars="200"/>
        <w:rPr>
          <w:rFonts w:eastAsia="方正仿宋简体"/>
          <w:b/>
          <w:sz w:val="32"/>
          <w:szCs w:val="32"/>
        </w:rPr>
      </w:pPr>
      <w:r>
        <w:rPr>
          <w:rFonts w:eastAsia="方正仿宋简体"/>
          <w:b/>
          <w:sz w:val="32"/>
          <w:szCs w:val="32"/>
        </w:rPr>
        <w:t>4.2.2 突发环境事件报告方式与内容</w:t>
      </w:r>
    </w:p>
    <w:p w14:paraId="282FC7BD">
      <w:pPr>
        <w:spacing w:line="600" w:lineRule="exact"/>
        <w:ind w:firstLine="632" w:firstLineChars="200"/>
        <w:rPr>
          <w:rFonts w:eastAsia="方正仿宋简体"/>
          <w:sz w:val="32"/>
          <w:szCs w:val="32"/>
        </w:rPr>
      </w:pPr>
      <w:r>
        <w:rPr>
          <w:rFonts w:eastAsia="方正仿宋简体"/>
          <w:sz w:val="32"/>
          <w:szCs w:val="32"/>
        </w:rPr>
        <w:t>突发环境事件的报告分为初报、续报和处理结果报告。</w:t>
      </w:r>
    </w:p>
    <w:p w14:paraId="46C94026">
      <w:pPr>
        <w:spacing w:line="600" w:lineRule="exact"/>
        <w:ind w:firstLine="632" w:firstLineChars="200"/>
        <w:rPr>
          <w:rFonts w:eastAsia="方正仿宋简体"/>
          <w:sz w:val="32"/>
          <w:szCs w:val="32"/>
        </w:rPr>
      </w:pPr>
      <w:r>
        <w:rPr>
          <w:rFonts w:eastAsia="方正仿宋简体"/>
          <w:sz w:val="32"/>
          <w:szCs w:val="32"/>
        </w:rPr>
        <w:t>初报在发现或者得知突发环境事件后首次上报；续报在查清有关基本情况、事件发展情况后随时上报；处理结果报告在突发环境事件处理完毕后上报。</w:t>
      </w:r>
    </w:p>
    <w:p w14:paraId="4ED7D5A9">
      <w:pPr>
        <w:spacing w:line="600" w:lineRule="exact"/>
        <w:ind w:firstLine="632" w:firstLineChars="200"/>
        <w:rPr>
          <w:rFonts w:eastAsia="方正仿宋简体"/>
          <w:sz w:val="32"/>
          <w:szCs w:val="32"/>
        </w:rPr>
      </w:pPr>
      <w:r>
        <w:rPr>
          <w:rFonts w:eastAsia="方正仿宋简体"/>
          <w:sz w:val="32"/>
          <w:szCs w:val="32"/>
        </w:rPr>
        <w:t>初报应当报告突发环境事件的发生时间、地点、信息来源、事件起因和性质、基本过程、主要污染物和数量、监测数据、人员受害情况、饮用水水源地等环境敏感点受影响情况、事件发展趋势、处置情况、拟</w:t>
      </w:r>
      <w:r>
        <w:rPr>
          <w:rFonts w:hint="eastAsia" w:eastAsia="方正仿宋简体"/>
          <w:sz w:val="32"/>
          <w:szCs w:val="32"/>
          <w:lang w:eastAsia="zh-CN"/>
        </w:rPr>
        <w:t>采取</w:t>
      </w:r>
      <w:r>
        <w:rPr>
          <w:rFonts w:eastAsia="方正仿宋简体"/>
          <w:sz w:val="32"/>
          <w:szCs w:val="32"/>
        </w:rPr>
        <w:t>的措施以及下一步工作建议等初步情况，并提供可能受到突发环境事件影响的环境敏感点的分布示意图。</w:t>
      </w:r>
    </w:p>
    <w:p w14:paraId="06D20DA3">
      <w:pPr>
        <w:spacing w:line="600" w:lineRule="exact"/>
        <w:ind w:firstLine="632" w:firstLineChars="200"/>
        <w:rPr>
          <w:rFonts w:eastAsia="方正仿宋简体"/>
          <w:sz w:val="32"/>
          <w:szCs w:val="32"/>
        </w:rPr>
      </w:pPr>
      <w:r>
        <w:rPr>
          <w:rFonts w:eastAsia="方正仿宋简体"/>
          <w:sz w:val="32"/>
          <w:szCs w:val="32"/>
        </w:rPr>
        <w:t>续报应当在初报的基础上，报告有关处置进展情况。</w:t>
      </w:r>
    </w:p>
    <w:p w14:paraId="7AF97F4A">
      <w:pPr>
        <w:spacing w:line="600" w:lineRule="exact"/>
        <w:ind w:firstLine="632" w:firstLineChars="200"/>
        <w:rPr>
          <w:rFonts w:eastAsia="方正仿宋简体"/>
          <w:sz w:val="32"/>
          <w:szCs w:val="32"/>
        </w:rPr>
      </w:pPr>
      <w:r>
        <w:rPr>
          <w:rFonts w:eastAsia="方正仿宋简体"/>
          <w:sz w:val="32"/>
          <w:szCs w:val="32"/>
        </w:rPr>
        <w:t>处理结果报告应当在初报和续报的基础上，报告处理突发环境事件的措施、过程和结果，突发环境事件潜在或者间接危害以及损失、社会影响、处理后的遗留问题、责任追究等详细情况。</w:t>
      </w:r>
    </w:p>
    <w:p w14:paraId="7E6FB210">
      <w:pPr>
        <w:spacing w:line="600" w:lineRule="exact"/>
        <w:ind w:firstLine="632" w:firstLineChars="200"/>
        <w:rPr>
          <w:rFonts w:eastAsia="方正仿宋简体"/>
          <w:sz w:val="32"/>
          <w:szCs w:val="32"/>
        </w:rPr>
      </w:pPr>
      <w:r>
        <w:rPr>
          <w:rFonts w:eastAsia="方正仿宋简体"/>
          <w:sz w:val="32"/>
          <w:szCs w:val="32"/>
        </w:rPr>
        <w:t>突发环境事件信息应当采用传真、网络、短信、邮寄和面呈等方式书面报告；情况紧急时，初报可通过电话报告，但应当及时补充书面报告。</w:t>
      </w:r>
    </w:p>
    <w:p w14:paraId="78EF3A4E">
      <w:pPr>
        <w:spacing w:line="600" w:lineRule="exact"/>
        <w:ind w:firstLine="632" w:firstLineChars="200"/>
        <w:rPr>
          <w:rFonts w:eastAsia="方正仿宋简体"/>
          <w:sz w:val="32"/>
          <w:szCs w:val="32"/>
        </w:rPr>
      </w:pPr>
      <w:r>
        <w:rPr>
          <w:rFonts w:eastAsia="方正仿宋简体"/>
          <w:sz w:val="32"/>
          <w:szCs w:val="32"/>
        </w:rPr>
        <w:t>书面报告中应当载明突发环境事件报告单位、报告签发人、联系人及联系方式等内容，并尽可能提供地图、图片以及相关的多媒体资料。</w:t>
      </w:r>
    </w:p>
    <w:p w14:paraId="2FD5BED0">
      <w:pPr>
        <w:spacing w:line="600" w:lineRule="exact"/>
        <w:ind w:firstLine="632" w:firstLineChars="200"/>
        <w:rPr>
          <w:rFonts w:eastAsia="方正仿宋简体"/>
          <w:b/>
          <w:sz w:val="32"/>
          <w:szCs w:val="32"/>
        </w:rPr>
      </w:pPr>
      <w:r>
        <w:rPr>
          <w:rFonts w:eastAsia="方正仿宋简体"/>
          <w:b/>
          <w:sz w:val="32"/>
          <w:szCs w:val="32"/>
        </w:rPr>
        <w:t>4.2.3 信息通报</w:t>
      </w:r>
    </w:p>
    <w:p w14:paraId="1C8CA669">
      <w:pPr>
        <w:spacing w:line="600" w:lineRule="exact"/>
        <w:ind w:firstLine="632" w:firstLineChars="200"/>
        <w:rPr>
          <w:rFonts w:eastAsia="方正仿宋简体"/>
          <w:sz w:val="32"/>
          <w:szCs w:val="32"/>
        </w:rPr>
      </w:pPr>
      <w:r>
        <w:rPr>
          <w:rFonts w:eastAsia="方正仿宋简体"/>
          <w:sz w:val="32"/>
          <w:szCs w:val="32"/>
        </w:rPr>
        <w:t>突发环境事件已经或者可能涉及相邻市县的，沙县环保局应当及时通报相邻区域同级人民政府环保主管部门，并向沙县人民政府提出向相邻区域人民政府通报的建议。若接到其他县市通报的，县环保局应当及时调查了解情况，并按照相关规定报告突发环境事件信息。</w:t>
      </w:r>
    </w:p>
    <w:p w14:paraId="753949A6">
      <w:pPr>
        <w:spacing w:line="600" w:lineRule="exact"/>
        <w:ind w:firstLine="632" w:firstLineChars="200"/>
        <w:rPr>
          <w:rFonts w:eastAsia="方正楷体简体"/>
          <w:sz w:val="32"/>
          <w:szCs w:val="32"/>
        </w:rPr>
      </w:pPr>
      <w:bookmarkStart w:id="51" w:name="_Toc393274657"/>
      <w:bookmarkStart w:id="52" w:name="_Toc375899833"/>
      <w:r>
        <w:rPr>
          <w:rFonts w:eastAsia="方正楷体简体"/>
          <w:sz w:val="32"/>
          <w:szCs w:val="32"/>
        </w:rPr>
        <w:t>4.3 先期处置</w:t>
      </w:r>
      <w:bookmarkEnd w:id="51"/>
      <w:bookmarkEnd w:id="52"/>
    </w:p>
    <w:p w14:paraId="668B1A99">
      <w:pPr>
        <w:spacing w:line="600" w:lineRule="exact"/>
        <w:ind w:firstLine="632" w:firstLineChars="200"/>
        <w:rPr>
          <w:rFonts w:eastAsia="方正仿宋简体"/>
          <w:sz w:val="32"/>
          <w:szCs w:val="32"/>
        </w:rPr>
      </w:pPr>
      <w:r>
        <w:rPr>
          <w:rFonts w:eastAsia="方正仿宋简体"/>
          <w:sz w:val="32"/>
          <w:szCs w:val="32"/>
        </w:rPr>
        <w:t>发生突发环境事件的事发单位或个人，应当立即采取有效措施，防止污染扩散，通报可能受到污染危害的单位和居民，按规定向县环保局和有关部门报告，负责消除污染，将受损害的环境恢复原状，或承担相应的费用。</w:t>
      </w:r>
    </w:p>
    <w:p w14:paraId="71B24605">
      <w:pPr>
        <w:spacing w:line="600" w:lineRule="exact"/>
        <w:ind w:firstLine="632" w:firstLineChars="200"/>
        <w:rPr>
          <w:rFonts w:eastAsia="方正仿宋简体"/>
          <w:sz w:val="32"/>
          <w:szCs w:val="32"/>
        </w:rPr>
      </w:pPr>
      <w:r>
        <w:rPr>
          <w:rFonts w:eastAsia="方正仿宋简体"/>
          <w:sz w:val="32"/>
          <w:szCs w:val="32"/>
        </w:rPr>
        <w:t>接报或得知情况后，事发地人民政府应立即派出有关部门及应急救援队伍赶赴现场，迅速开展处置工作。各应急救援队伍必须在当地政府的指挥下，控制或切断污染源，全力控制事件态势，严防二次污染和次生、衍生事件发生。发生突发环境事件的有关部门、单位要及时主动提供应急救援有关的基础资料和必要的技术支持，负有监管责任的有关部门提供事件发生前的有关监管检查资料，供实施和调整应急救援和处置方案时参考。</w:t>
      </w:r>
    </w:p>
    <w:p w14:paraId="6B1D8140">
      <w:pPr>
        <w:spacing w:line="600" w:lineRule="exact"/>
        <w:ind w:firstLine="632" w:firstLineChars="200"/>
        <w:rPr>
          <w:rFonts w:eastAsia="方正仿宋简体"/>
          <w:sz w:val="32"/>
          <w:szCs w:val="32"/>
        </w:rPr>
      </w:pPr>
      <w:r>
        <w:rPr>
          <w:rFonts w:eastAsia="方正仿宋简体"/>
          <w:sz w:val="32"/>
          <w:szCs w:val="32"/>
        </w:rPr>
        <w:t>公安局负责交通管制、疏散人群、保护高危人群等措施，保护公众生命安全与身体健康。交警部门迅速处置事故车辆，报告危险化学品泄漏情况，并协助做好危险化学品的收储工作，防止污染进一步蔓延；消防部门迅速处置因危险化学品污染事故引发的火灾，参加有关危险化学品的处置工作。</w:t>
      </w:r>
    </w:p>
    <w:p w14:paraId="508B7FF9">
      <w:pPr>
        <w:spacing w:line="600" w:lineRule="exact"/>
        <w:ind w:firstLine="632" w:firstLineChars="200"/>
        <w:rPr>
          <w:rFonts w:eastAsia="方正仿宋简体"/>
          <w:sz w:val="32"/>
          <w:szCs w:val="32"/>
        </w:rPr>
      </w:pPr>
      <w:r>
        <w:rPr>
          <w:rFonts w:eastAsia="方正仿宋简体"/>
          <w:sz w:val="32"/>
          <w:szCs w:val="32"/>
        </w:rPr>
        <w:t>环保局按照其预先制定的应急预案，通过采取停产、禁排、封堵、关闭等措施切断污染源；同时督促相关单位采用拦截、覆盖、稀释、打捞、吸附等措施防止污染扩散；通过采取中和、固化、沉淀、降解、清理等措施减轻或消除污染，同时加强监测力度，掌握污染动态。</w:t>
      </w:r>
    </w:p>
    <w:p w14:paraId="03F0A973">
      <w:pPr>
        <w:spacing w:line="600" w:lineRule="exact"/>
        <w:ind w:firstLine="632" w:firstLineChars="200"/>
        <w:rPr>
          <w:rFonts w:eastAsia="方正仿宋简体"/>
          <w:spacing w:val="-4"/>
          <w:sz w:val="32"/>
          <w:szCs w:val="32"/>
        </w:rPr>
      </w:pPr>
      <w:r>
        <w:rPr>
          <w:rFonts w:eastAsia="方正仿宋简体"/>
          <w:sz w:val="32"/>
          <w:szCs w:val="32"/>
        </w:rPr>
        <w:t>水利局</w:t>
      </w:r>
      <w:r>
        <w:rPr>
          <w:rFonts w:hint="eastAsia" w:eastAsia="方正仿宋简体"/>
          <w:color w:val="FF0000"/>
          <w:sz w:val="32"/>
          <w:szCs w:val="32"/>
        </w:rPr>
        <w:t>督促</w:t>
      </w:r>
      <w:r>
        <w:rPr>
          <w:rFonts w:hint="eastAsia" w:eastAsia="方正仿宋简体"/>
          <w:sz w:val="32"/>
          <w:szCs w:val="32"/>
        </w:rPr>
        <w:t>水务</w:t>
      </w:r>
      <w:r>
        <w:rPr>
          <w:rFonts w:eastAsia="方正仿宋简体"/>
          <w:sz w:val="32"/>
          <w:szCs w:val="32"/>
        </w:rPr>
        <w:t>公司按照《供水应急事故处理预案》要求，采取停水、减压供水、改路供水，通知沿途居民停止取水、用水，并启用备用水源；按照预先制定的应急预案，开关相应闸口，降低</w:t>
      </w:r>
      <w:r>
        <w:rPr>
          <w:rFonts w:eastAsia="方正仿宋简体"/>
          <w:spacing w:val="-4"/>
          <w:sz w:val="32"/>
          <w:szCs w:val="32"/>
        </w:rPr>
        <w:t>污染物浓度和影响程度，将受污染水体疏导排放至安全区域，必要时通知下游水厂停水或采取保护措施，如加入药剂中和、净化污染，调整处理工艺，提高污染处理能力，加大或减少投氯量和净水剂用量，用活性炭处理过高的有机污染物等。</w:t>
      </w:r>
    </w:p>
    <w:p w14:paraId="414B32EE">
      <w:pPr>
        <w:spacing w:line="600" w:lineRule="exact"/>
        <w:ind w:firstLine="616" w:firstLineChars="200"/>
        <w:rPr>
          <w:rFonts w:eastAsia="方正仿宋简体"/>
          <w:spacing w:val="-4"/>
          <w:sz w:val="32"/>
          <w:szCs w:val="32"/>
        </w:rPr>
      </w:pPr>
      <w:r>
        <w:rPr>
          <w:rFonts w:eastAsia="方正仿宋简体"/>
          <w:spacing w:val="-4"/>
          <w:sz w:val="32"/>
          <w:szCs w:val="32"/>
        </w:rPr>
        <w:t>应急现场指挥小组根据监测数据和其他有关数据编制分析图表，预测污染迁移强度、速度和影响范围，进行跟踪调查，及时调整对策。每12小时向县应急处置领导小组和上级部门报告一次污染事件处理动态和下一步对策，直至污染事件警报解除。</w:t>
      </w:r>
    </w:p>
    <w:p w14:paraId="17EAC575">
      <w:pPr>
        <w:spacing w:line="600" w:lineRule="exact"/>
        <w:ind w:firstLine="632" w:firstLineChars="200"/>
        <w:rPr>
          <w:rFonts w:eastAsia="方正楷体简体"/>
          <w:sz w:val="32"/>
          <w:szCs w:val="32"/>
        </w:rPr>
      </w:pPr>
      <w:bookmarkStart w:id="53" w:name="_Toc393274658"/>
      <w:bookmarkStart w:id="54" w:name="_Toc375899834"/>
      <w:r>
        <w:rPr>
          <w:rFonts w:eastAsia="方正楷体简体"/>
          <w:sz w:val="32"/>
          <w:szCs w:val="32"/>
        </w:rPr>
        <w:t>4.4 现场应急处置工作</w:t>
      </w:r>
      <w:bookmarkEnd w:id="53"/>
      <w:bookmarkEnd w:id="54"/>
    </w:p>
    <w:p w14:paraId="533103CF">
      <w:pPr>
        <w:spacing w:line="600" w:lineRule="exact"/>
        <w:ind w:firstLine="632" w:firstLineChars="200"/>
        <w:rPr>
          <w:rFonts w:eastAsia="方正仿宋简体"/>
          <w:sz w:val="32"/>
          <w:szCs w:val="32"/>
        </w:rPr>
      </w:pPr>
      <w:r>
        <w:rPr>
          <w:rFonts w:eastAsia="方正仿宋简体"/>
          <w:sz w:val="32"/>
          <w:szCs w:val="32"/>
        </w:rPr>
        <w:t>饮用水水源地发生突发环境事件时，环境应急指挥机构采取的应急措施，可针对具体情况，以一种方法为主，若干种方法为辅的措施，控制环境事件产生的危害。</w:t>
      </w:r>
    </w:p>
    <w:p w14:paraId="0497C6F3">
      <w:pPr>
        <w:spacing w:line="600" w:lineRule="exact"/>
        <w:ind w:firstLine="632" w:firstLineChars="200"/>
        <w:rPr>
          <w:rFonts w:eastAsia="方正仿宋简体"/>
          <w:sz w:val="32"/>
          <w:szCs w:val="32"/>
        </w:rPr>
      </w:pPr>
      <w:r>
        <w:rPr>
          <w:rFonts w:eastAsia="方正仿宋简体"/>
          <w:sz w:val="32"/>
          <w:szCs w:val="32"/>
        </w:rPr>
        <w:t>⑴污染如果是由排污口排放引起的，必须立即封堵排污口，防止饮用水源地水体污染的扩大；如果是生产、运输过程中有毒有害化学品的泄露、扩散所造成的饮用水源污染事件，按照污染物的化学、物理特征要求制止泄露。</w:t>
      </w:r>
    </w:p>
    <w:p w14:paraId="04016EA5">
      <w:pPr>
        <w:spacing w:line="600" w:lineRule="exact"/>
        <w:ind w:firstLine="632" w:firstLineChars="200"/>
        <w:rPr>
          <w:rFonts w:eastAsia="方正仿宋简体"/>
          <w:sz w:val="32"/>
          <w:szCs w:val="32"/>
        </w:rPr>
      </w:pPr>
      <w:r>
        <w:rPr>
          <w:rFonts w:eastAsia="方正仿宋简体"/>
          <w:sz w:val="32"/>
          <w:szCs w:val="32"/>
        </w:rPr>
        <w:t>⑵如果已经造成饮用水源地水体污染，但影响范围不大，且危害性不很严重时，在污染水体的下游处进行拦截，再将污染水体直接采用适当的物理、化学方法进行处理，以消除危害。</w:t>
      </w:r>
    </w:p>
    <w:p w14:paraId="1566747E">
      <w:pPr>
        <w:spacing w:line="600" w:lineRule="exact"/>
        <w:ind w:firstLine="632" w:firstLineChars="200"/>
        <w:rPr>
          <w:rFonts w:eastAsia="方正仿宋简体"/>
          <w:sz w:val="32"/>
          <w:szCs w:val="32"/>
        </w:rPr>
      </w:pPr>
      <w:r>
        <w:rPr>
          <w:rFonts w:eastAsia="方正仿宋简体"/>
          <w:sz w:val="32"/>
          <w:szCs w:val="32"/>
        </w:rPr>
        <w:t>⑶如果已经造成饮用水源地水体大范围污染，且危害性严重（特别是剧毒化学品污染），</w:t>
      </w:r>
      <w:r>
        <w:rPr>
          <w:rFonts w:hint="eastAsia" w:eastAsia="方正仿宋简体"/>
          <w:sz w:val="32"/>
          <w:szCs w:val="32"/>
        </w:rPr>
        <w:t>应</w:t>
      </w:r>
      <w:r>
        <w:rPr>
          <w:rFonts w:eastAsia="方正仿宋简体"/>
          <w:sz w:val="32"/>
          <w:szCs w:val="32"/>
        </w:rPr>
        <w:t>立即通知水厂和水源地周围群众停止用水，并在污染水体的下游处进行拦截，再采用适当的物理、化学方法进行处理，以消除危害。</w:t>
      </w:r>
    </w:p>
    <w:p w14:paraId="1CB76683">
      <w:pPr>
        <w:spacing w:line="600" w:lineRule="exact"/>
        <w:ind w:firstLine="632" w:firstLineChars="200"/>
        <w:rPr>
          <w:rFonts w:eastAsia="方正仿宋简体"/>
          <w:spacing w:val="-4"/>
          <w:sz w:val="32"/>
          <w:szCs w:val="32"/>
        </w:rPr>
      </w:pPr>
      <w:r>
        <w:rPr>
          <w:rFonts w:eastAsia="方正仿宋简体"/>
          <w:sz w:val="32"/>
          <w:szCs w:val="32"/>
        </w:rPr>
        <w:t>⑷一旦饮用水源地水体受到污染已</w:t>
      </w:r>
      <w:r>
        <w:rPr>
          <w:rFonts w:hint="eastAsia" w:eastAsia="方正仿宋简体"/>
          <w:sz w:val="32"/>
          <w:szCs w:val="32"/>
          <w:lang w:eastAsia="zh-CN"/>
        </w:rPr>
        <w:t>既成事实</w:t>
      </w:r>
      <w:r>
        <w:rPr>
          <w:rFonts w:eastAsia="方正仿宋简体"/>
          <w:sz w:val="32"/>
          <w:szCs w:val="32"/>
        </w:rPr>
        <w:t>，参与饮用水源应急的监测人员应立即对污染水域进行布控、监测，及时报告测定</w:t>
      </w:r>
      <w:r>
        <w:rPr>
          <w:rFonts w:eastAsia="方正仿宋简体"/>
          <w:spacing w:val="-4"/>
          <w:sz w:val="32"/>
          <w:szCs w:val="32"/>
        </w:rPr>
        <w:t>结果，供应急指挥部采取措施提供参考。若水源不能正常取用，出现大面积停供、减供且判定短期内无法正常恢复时，应考虑启动紧急状态下利用车辆送水和市场净水应急供应措施。</w:t>
      </w:r>
    </w:p>
    <w:p w14:paraId="4CF71865">
      <w:pPr>
        <w:spacing w:line="600" w:lineRule="exact"/>
        <w:ind w:firstLine="632" w:firstLineChars="200"/>
        <w:rPr>
          <w:rFonts w:eastAsia="方正仿宋简体"/>
          <w:sz w:val="32"/>
          <w:szCs w:val="32"/>
        </w:rPr>
      </w:pPr>
      <w:r>
        <w:rPr>
          <w:rFonts w:eastAsia="方正仿宋简体"/>
          <w:sz w:val="32"/>
          <w:szCs w:val="32"/>
        </w:rPr>
        <w:t>⑸如果已经引起周围农田土壤、作物污染或水生生物中毒死亡时，应采集土壤、作物或水生生物进行专业分析，为污染事件后期处理提供依据。</w:t>
      </w:r>
    </w:p>
    <w:p w14:paraId="1D9CE89E">
      <w:pPr>
        <w:spacing w:line="600" w:lineRule="exact"/>
        <w:ind w:firstLine="632" w:firstLineChars="200"/>
        <w:rPr>
          <w:rFonts w:eastAsia="方正楷体简体"/>
          <w:sz w:val="32"/>
          <w:szCs w:val="32"/>
        </w:rPr>
      </w:pPr>
      <w:bookmarkStart w:id="55" w:name="_Toc375899835"/>
      <w:bookmarkStart w:id="56" w:name="_Toc393274659"/>
      <w:r>
        <w:rPr>
          <w:rFonts w:eastAsia="方正楷体简体"/>
          <w:sz w:val="32"/>
          <w:szCs w:val="32"/>
        </w:rPr>
        <w:t>4.5 应急监测</w:t>
      </w:r>
      <w:bookmarkEnd w:id="55"/>
      <w:bookmarkEnd w:id="56"/>
    </w:p>
    <w:p w14:paraId="74C015BD">
      <w:pPr>
        <w:spacing w:line="600" w:lineRule="exact"/>
        <w:ind w:firstLine="632" w:firstLineChars="200"/>
        <w:rPr>
          <w:rFonts w:eastAsia="方正仿宋简体"/>
          <w:sz w:val="32"/>
          <w:szCs w:val="32"/>
        </w:rPr>
      </w:pPr>
      <w:r>
        <w:rPr>
          <w:rFonts w:eastAsia="方正仿宋简体"/>
          <w:sz w:val="32"/>
          <w:szCs w:val="32"/>
        </w:rPr>
        <w:t>按照本预案的职责分工，县水利局、环保局和卫</w:t>
      </w:r>
      <w:r>
        <w:rPr>
          <w:rFonts w:hint="eastAsia" w:eastAsia="方正仿宋简体"/>
          <w:sz w:val="32"/>
          <w:szCs w:val="32"/>
        </w:rPr>
        <w:t>计</w:t>
      </w:r>
      <w:r>
        <w:rPr>
          <w:rFonts w:eastAsia="方正仿宋简体"/>
          <w:sz w:val="32"/>
          <w:szCs w:val="32"/>
        </w:rPr>
        <w:t>局都负有供水质量以及监测责任，分别对自来水出厂水质、水源地水质和自来水管网水质进行不间断的监测。Ⅰ级、Ⅱ级和Ⅲ级集中式饮用水源突发环境事件发生后，要加强对全县各网点的监测，至少每2小时取样化验一次，以保证水源地溶解氧、氨氮和COD指标以及自来水各饮用指标每2小时报告一次。有关技术负责人和指挥部领导要不间断地深入水厂、水源地亲自查看，实施不间断的跟踪采样、分析，及时掌握监测结果，并及时对事态危害的发展趋势和影响程度做出分析判断和预测，提出工作意见和建议。</w:t>
      </w:r>
    </w:p>
    <w:p w14:paraId="1C36ECA0">
      <w:pPr>
        <w:spacing w:line="600" w:lineRule="exact"/>
        <w:ind w:firstLine="632" w:firstLineChars="200"/>
        <w:rPr>
          <w:rFonts w:eastAsia="方正楷体简体"/>
          <w:sz w:val="32"/>
          <w:szCs w:val="32"/>
        </w:rPr>
      </w:pPr>
      <w:bookmarkStart w:id="57" w:name="_Toc393274660"/>
      <w:r>
        <w:rPr>
          <w:rFonts w:eastAsia="方正楷体简体"/>
          <w:sz w:val="32"/>
          <w:szCs w:val="32"/>
        </w:rPr>
        <w:t>4.6外部支援</w:t>
      </w:r>
      <w:bookmarkEnd w:id="57"/>
    </w:p>
    <w:p w14:paraId="14D83490">
      <w:pPr>
        <w:spacing w:line="600" w:lineRule="exact"/>
        <w:ind w:firstLine="632" w:firstLineChars="200"/>
        <w:rPr>
          <w:rFonts w:eastAsia="方正仿宋简体"/>
          <w:sz w:val="32"/>
          <w:szCs w:val="32"/>
        </w:rPr>
      </w:pPr>
      <w:r>
        <w:rPr>
          <w:rFonts w:eastAsia="方正仿宋简体"/>
          <w:sz w:val="32"/>
          <w:szCs w:val="32"/>
        </w:rPr>
        <w:t>当饮用水源突发环境事件不断扩大和复杂化，且连续发生次生、衍生事故，并有进一步发展的趋势，我县处置遇到较大困难时，要及时向市委和市政府、兄弟区县、有关科研单位和相关大中型企业发出求援信息，争取支援。</w:t>
      </w:r>
    </w:p>
    <w:p w14:paraId="3685F81E">
      <w:pPr>
        <w:spacing w:line="600" w:lineRule="exact"/>
        <w:ind w:firstLine="632" w:firstLineChars="200"/>
        <w:rPr>
          <w:rFonts w:eastAsia="方正楷体简体"/>
          <w:sz w:val="32"/>
          <w:szCs w:val="32"/>
        </w:rPr>
      </w:pPr>
      <w:bookmarkStart w:id="58" w:name="_Toc375899842"/>
      <w:bookmarkStart w:id="59" w:name="_Toc393274661"/>
      <w:r>
        <w:rPr>
          <w:rFonts w:eastAsia="方正楷体简体"/>
          <w:sz w:val="32"/>
          <w:szCs w:val="32"/>
        </w:rPr>
        <w:t>4.7 信息发布和舆论引导</w:t>
      </w:r>
      <w:bookmarkEnd w:id="58"/>
      <w:bookmarkEnd w:id="59"/>
    </w:p>
    <w:p w14:paraId="1320C5F8">
      <w:pPr>
        <w:spacing w:line="600" w:lineRule="exact"/>
        <w:ind w:firstLine="632" w:firstLineChars="200"/>
        <w:rPr>
          <w:rFonts w:eastAsia="方正仿宋简体"/>
          <w:sz w:val="32"/>
          <w:szCs w:val="32"/>
        </w:rPr>
      </w:pPr>
      <w:r>
        <w:rPr>
          <w:rFonts w:eastAsia="方正仿宋简体"/>
          <w:sz w:val="32"/>
          <w:szCs w:val="32"/>
        </w:rPr>
        <w:t>突发环境事件的信息，由县应急处置指挥部根据相应级别对外统一发布，突发环境事件应急指挥机构组成部门负责提供突发环境事件的有关信息。</w:t>
      </w:r>
    </w:p>
    <w:p w14:paraId="661BB5E2">
      <w:pPr>
        <w:spacing w:line="600" w:lineRule="exact"/>
        <w:ind w:firstLine="616" w:firstLineChars="200"/>
        <w:rPr>
          <w:rFonts w:eastAsia="方正仿宋简体"/>
          <w:spacing w:val="-4"/>
          <w:sz w:val="32"/>
          <w:szCs w:val="32"/>
        </w:rPr>
      </w:pPr>
      <w:r>
        <w:rPr>
          <w:rFonts w:eastAsia="方正仿宋简体"/>
          <w:spacing w:val="-4"/>
          <w:sz w:val="32"/>
          <w:szCs w:val="32"/>
        </w:rPr>
        <w:t>对于较为复杂的事件，可分阶段发布，先简要发布基本事实。</w:t>
      </w:r>
    </w:p>
    <w:p w14:paraId="0EF5AF71">
      <w:pPr>
        <w:spacing w:line="600" w:lineRule="exact"/>
        <w:ind w:firstLine="632" w:firstLineChars="200"/>
        <w:rPr>
          <w:rFonts w:eastAsia="方正楷体简体"/>
          <w:sz w:val="32"/>
          <w:szCs w:val="32"/>
        </w:rPr>
      </w:pPr>
      <w:bookmarkStart w:id="60" w:name="_Toc393274662"/>
      <w:bookmarkStart w:id="61" w:name="_Toc375899843"/>
      <w:r>
        <w:rPr>
          <w:rFonts w:eastAsia="方正楷体简体"/>
          <w:sz w:val="32"/>
          <w:szCs w:val="32"/>
        </w:rPr>
        <w:t>4.8 安全防护</w:t>
      </w:r>
      <w:bookmarkEnd w:id="60"/>
      <w:bookmarkEnd w:id="61"/>
    </w:p>
    <w:p w14:paraId="0118DAF8">
      <w:pPr>
        <w:spacing w:line="600" w:lineRule="exact"/>
        <w:ind w:firstLine="632" w:firstLineChars="200"/>
        <w:rPr>
          <w:rFonts w:eastAsia="方正仿宋简体"/>
          <w:b/>
          <w:sz w:val="32"/>
          <w:szCs w:val="32"/>
        </w:rPr>
      </w:pPr>
      <w:r>
        <w:rPr>
          <w:rFonts w:eastAsia="方正仿宋简体"/>
          <w:b/>
          <w:sz w:val="32"/>
          <w:szCs w:val="32"/>
        </w:rPr>
        <w:t>4.8.1 环境应急人员的安全防护</w:t>
      </w:r>
    </w:p>
    <w:p w14:paraId="42D4689C">
      <w:pPr>
        <w:spacing w:line="600" w:lineRule="exact"/>
        <w:ind w:firstLine="616" w:firstLineChars="200"/>
        <w:rPr>
          <w:rFonts w:eastAsia="方正仿宋简体"/>
          <w:spacing w:val="-4"/>
          <w:sz w:val="32"/>
          <w:szCs w:val="32"/>
        </w:rPr>
      </w:pPr>
      <w:r>
        <w:rPr>
          <w:rFonts w:eastAsia="方正仿宋简体"/>
          <w:spacing w:val="-4"/>
          <w:sz w:val="32"/>
          <w:szCs w:val="32"/>
        </w:rPr>
        <w:t>应根据突发环境事件的特点，采取安全防护措施，配备相应的专业防护装备，严格执行环境应急人员出入事发现场的程序。</w:t>
      </w:r>
    </w:p>
    <w:p w14:paraId="24DE7C55">
      <w:pPr>
        <w:spacing w:line="600" w:lineRule="exact"/>
        <w:ind w:firstLine="632" w:firstLineChars="200"/>
        <w:rPr>
          <w:rFonts w:eastAsia="方正仿宋简体"/>
          <w:b/>
          <w:sz w:val="32"/>
          <w:szCs w:val="32"/>
        </w:rPr>
      </w:pPr>
      <w:r>
        <w:rPr>
          <w:rFonts w:eastAsia="方正仿宋简体"/>
          <w:b/>
          <w:sz w:val="32"/>
          <w:szCs w:val="32"/>
        </w:rPr>
        <w:t>4.8.2 受威胁人员的安全防护</w:t>
      </w:r>
    </w:p>
    <w:p w14:paraId="2BD62FE1">
      <w:pPr>
        <w:spacing w:line="600" w:lineRule="exact"/>
        <w:ind w:firstLine="632" w:firstLineChars="200"/>
        <w:rPr>
          <w:rFonts w:eastAsia="方正仿宋简体"/>
          <w:sz w:val="32"/>
          <w:szCs w:val="32"/>
        </w:rPr>
      </w:pPr>
      <w:r>
        <w:rPr>
          <w:rFonts w:eastAsia="方正仿宋简体"/>
          <w:sz w:val="32"/>
          <w:szCs w:val="32"/>
        </w:rPr>
        <w:t>当发生危险化学品泄漏时，受威胁人员的安全防护由组织处置突发事件的人民政府统一规划，设立紧急避险避难场所。</w:t>
      </w:r>
    </w:p>
    <w:p w14:paraId="05DF0A82">
      <w:pPr>
        <w:spacing w:line="600" w:lineRule="exact"/>
        <w:ind w:firstLine="632" w:firstLineChars="200"/>
        <w:rPr>
          <w:rFonts w:eastAsia="方正仿宋简体"/>
          <w:sz w:val="32"/>
          <w:szCs w:val="32"/>
        </w:rPr>
      </w:pPr>
      <w:r>
        <w:rPr>
          <w:rFonts w:eastAsia="方正仿宋简体"/>
          <w:sz w:val="32"/>
          <w:szCs w:val="32"/>
        </w:rPr>
        <w:t>⑴履行突发环境事件应急统一领导职责的政府，应根据事发时当地的气象、地理环境、人员密集度等，确定受威胁人员疏散的方式，组织群众安全疏散撤离；</w:t>
      </w:r>
    </w:p>
    <w:p w14:paraId="6F1CC044">
      <w:pPr>
        <w:spacing w:line="600" w:lineRule="exact"/>
        <w:ind w:firstLine="632" w:firstLineChars="200"/>
        <w:rPr>
          <w:rFonts w:eastAsia="方正仿宋简体"/>
          <w:sz w:val="32"/>
          <w:szCs w:val="32"/>
        </w:rPr>
      </w:pPr>
      <w:r>
        <w:rPr>
          <w:rFonts w:eastAsia="方正仿宋简体"/>
          <w:sz w:val="32"/>
          <w:szCs w:val="32"/>
        </w:rPr>
        <w:t>⑵根据事发地的气象、地理条件等，疏散受威胁人员至安全的紧急避险避难场所。</w:t>
      </w:r>
    </w:p>
    <w:p w14:paraId="25D13AF3">
      <w:pPr>
        <w:spacing w:line="600" w:lineRule="exact"/>
        <w:ind w:firstLine="632" w:firstLineChars="200"/>
        <w:rPr>
          <w:rFonts w:eastAsia="方正楷体简体"/>
          <w:sz w:val="32"/>
          <w:szCs w:val="32"/>
        </w:rPr>
      </w:pPr>
      <w:bookmarkStart w:id="62" w:name="_Toc393274663"/>
      <w:bookmarkStart w:id="63" w:name="_Toc375899844"/>
      <w:r>
        <w:rPr>
          <w:rFonts w:eastAsia="方正楷体简体"/>
          <w:sz w:val="32"/>
          <w:szCs w:val="32"/>
        </w:rPr>
        <w:t>4.9 应急终止</w:t>
      </w:r>
      <w:bookmarkEnd w:id="62"/>
      <w:bookmarkEnd w:id="63"/>
    </w:p>
    <w:p w14:paraId="50D18475">
      <w:pPr>
        <w:spacing w:line="600" w:lineRule="exact"/>
        <w:ind w:firstLine="632" w:firstLineChars="200"/>
        <w:rPr>
          <w:rFonts w:eastAsia="方正仿宋简体"/>
          <w:b/>
          <w:sz w:val="32"/>
          <w:szCs w:val="32"/>
        </w:rPr>
      </w:pPr>
      <w:r>
        <w:rPr>
          <w:rFonts w:eastAsia="方正仿宋简体"/>
          <w:b/>
          <w:sz w:val="32"/>
          <w:szCs w:val="32"/>
        </w:rPr>
        <w:t>4.9.1 应急终止的条件</w:t>
      </w:r>
    </w:p>
    <w:p w14:paraId="31E5B3EE">
      <w:pPr>
        <w:spacing w:line="600" w:lineRule="exact"/>
        <w:ind w:firstLine="632" w:firstLineChars="200"/>
        <w:rPr>
          <w:rFonts w:eastAsia="方正仿宋简体"/>
          <w:sz w:val="32"/>
          <w:szCs w:val="32"/>
        </w:rPr>
      </w:pPr>
      <w:r>
        <w:rPr>
          <w:rFonts w:eastAsia="方正仿宋简体"/>
          <w:sz w:val="32"/>
          <w:szCs w:val="32"/>
        </w:rPr>
        <w:t>突发环境事件的现场应急处置工作在突发环境事件的威胁和危害得到控制或者消除后，应当终止。应急终止应当符合下列条件之一：</w:t>
      </w:r>
    </w:p>
    <w:p w14:paraId="315456A7">
      <w:pPr>
        <w:spacing w:line="600" w:lineRule="exact"/>
        <w:ind w:firstLine="632" w:firstLineChars="200"/>
        <w:rPr>
          <w:rFonts w:eastAsia="方正仿宋简体"/>
          <w:sz w:val="32"/>
          <w:szCs w:val="32"/>
        </w:rPr>
      </w:pPr>
      <w:r>
        <w:rPr>
          <w:rFonts w:eastAsia="方正仿宋简体"/>
          <w:sz w:val="32"/>
          <w:szCs w:val="32"/>
        </w:rPr>
        <w:t>⑴事件现场危险状态得到控制，事件发生条件已经消除；</w:t>
      </w:r>
    </w:p>
    <w:p w14:paraId="0D88374B">
      <w:pPr>
        <w:spacing w:line="600" w:lineRule="exact"/>
        <w:ind w:firstLine="632" w:firstLineChars="200"/>
        <w:rPr>
          <w:rFonts w:eastAsia="方正仿宋简体"/>
          <w:sz w:val="32"/>
          <w:szCs w:val="32"/>
        </w:rPr>
      </w:pPr>
      <w:r>
        <w:rPr>
          <w:rFonts w:eastAsia="方正仿宋简体"/>
          <w:sz w:val="32"/>
          <w:szCs w:val="32"/>
        </w:rPr>
        <w:t>⑵事件发生地人群、环境的各项主要健康、环境、生物及生态指标已经达到常态水平；</w:t>
      </w:r>
    </w:p>
    <w:p w14:paraId="6BAD3A98">
      <w:pPr>
        <w:spacing w:line="600" w:lineRule="exact"/>
        <w:ind w:firstLine="632" w:firstLineChars="200"/>
        <w:rPr>
          <w:rFonts w:eastAsia="方正仿宋简体"/>
          <w:sz w:val="32"/>
          <w:szCs w:val="32"/>
        </w:rPr>
      </w:pPr>
      <w:r>
        <w:rPr>
          <w:rFonts w:eastAsia="方正仿宋简体"/>
          <w:sz w:val="32"/>
          <w:szCs w:val="32"/>
        </w:rPr>
        <w:t>⑶事件所造成的危害已经被彻底消除，无继发可能；</w:t>
      </w:r>
    </w:p>
    <w:p w14:paraId="34CA18AD">
      <w:pPr>
        <w:spacing w:line="600" w:lineRule="exact"/>
        <w:ind w:firstLine="632" w:firstLineChars="200"/>
        <w:rPr>
          <w:rFonts w:eastAsia="方正仿宋简体"/>
          <w:sz w:val="32"/>
          <w:szCs w:val="32"/>
        </w:rPr>
      </w:pPr>
      <w:r>
        <w:rPr>
          <w:rFonts w:eastAsia="方正仿宋简体"/>
          <w:sz w:val="32"/>
          <w:szCs w:val="32"/>
        </w:rPr>
        <w:t>⑷事件现场的各种专业应急处置行动已无继续的必要；</w:t>
      </w:r>
    </w:p>
    <w:p w14:paraId="5DC8C5F3">
      <w:pPr>
        <w:spacing w:line="600" w:lineRule="exact"/>
        <w:ind w:firstLine="632" w:firstLineChars="200"/>
        <w:rPr>
          <w:rFonts w:eastAsia="方正仿宋简体"/>
          <w:sz w:val="32"/>
          <w:szCs w:val="32"/>
        </w:rPr>
      </w:pPr>
      <w:r>
        <w:rPr>
          <w:rFonts w:eastAsia="方正仿宋简体"/>
          <w:sz w:val="32"/>
          <w:szCs w:val="32"/>
        </w:rPr>
        <w:t>⑸采取了必要的防护措施以保护公众免受再次危害，并使事件可能引起的中长期影响趋于合理且尽量低的水平。</w:t>
      </w:r>
    </w:p>
    <w:p w14:paraId="2E37D0DA">
      <w:pPr>
        <w:spacing w:line="600" w:lineRule="exact"/>
        <w:ind w:firstLine="632" w:firstLineChars="200"/>
        <w:rPr>
          <w:rFonts w:eastAsia="方正仿宋简体"/>
          <w:b/>
          <w:sz w:val="32"/>
          <w:szCs w:val="32"/>
        </w:rPr>
      </w:pPr>
      <w:r>
        <w:rPr>
          <w:rFonts w:eastAsia="方正仿宋简体"/>
          <w:b/>
          <w:sz w:val="32"/>
          <w:szCs w:val="32"/>
        </w:rPr>
        <w:t>4.9.2 应急终止的程序</w:t>
      </w:r>
    </w:p>
    <w:p w14:paraId="082A1051">
      <w:pPr>
        <w:spacing w:line="600" w:lineRule="exact"/>
        <w:ind w:firstLine="632" w:firstLineChars="200"/>
        <w:rPr>
          <w:rFonts w:eastAsia="方正仿宋简体"/>
          <w:sz w:val="32"/>
          <w:szCs w:val="32"/>
        </w:rPr>
      </w:pPr>
      <w:r>
        <w:rPr>
          <w:rFonts w:eastAsia="方正仿宋简体"/>
          <w:sz w:val="32"/>
          <w:szCs w:val="32"/>
        </w:rPr>
        <w:t>⑴环境应急现场指挥部决定终止时机，或事件责任单位或个人提出，经环境应急指挥部批准；</w:t>
      </w:r>
    </w:p>
    <w:p w14:paraId="0713C8F1">
      <w:pPr>
        <w:spacing w:line="600" w:lineRule="exact"/>
        <w:ind w:firstLine="632" w:firstLineChars="200"/>
        <w:rPr>
          <w:rFonts w:eastAsia="方正仿宋简体"/>
          <w:sz w:val="32"/>
          <w:szCs w:val="32"/>
        </w:rPr>
      </w:pPr>
      <w:r>
        <w:rPr>
          <w:rFonts w:eastAsia="方正仿宋简体"/>
          <w:sz w:val="32"/>
          <w:szCs w:val="32"/>
        </w:rPr>
        <w:t>⑵环境应急现场指挥部向组织处置突发环境事件的各专业应急救援队伍下达应急终止命令；</w:t>
      </w:r>
    </w:p>
    <w:p w14:paraId="6A750098">
      <w:pPr>
        <w:spacing w:line="600" w:lineRule="exact"/>
        <w:ind w:firstLine="632" w:firstLineChars="200"/>
        <w:rPr>
          <w:rFonts w:eastAsia="方正仿宋简体"/>
          <w:sz w:val="32"/>
          <w:szCs w:val="32"/>
        </w:rPr>
      </w:pPr>
      <w:r>
        <w:rPr>
          <w:rFonts w:eastAsia="方正仿宋简体"/>
          <w:sz w:val="32"/>
          <w:szCs w:val="32"/>
        </w:rPr>
        <w:t>⑶应急状态终止后，县突发环境事件应急指挥机构组成部门应根据县政府有关指示和实际情况，决定是否继续进行环境监测和评价工作。经专家组审核，事件影响已消除的，环境应急指挥部下达环境应急监测终止命令，转入常态管理。</w:t>
      </w:r>
    </w:p>
    <w:p w14:paraId="41CB4A6C">
      <w:pPr>
        <w:spacing w:line="600" w:lineRule="exact"/>
        <w:ind w:firstLine="632" w:firstLineChars="200"/>
        <w:rPr>
          <w:rFonts w:eastAsia="方正黑体简体"/>
          <w:sz w:val="32"/>
          <w:szCs w:val="32"/>
        </w:rPr>
      </w:pPr>
      <w:bookmarkStart w:id="64" w:name="_Toc393274664"/>
      <w:bookmarkStart w:id="65" w:name="_Toc375899845"/>
      <w:r>
        <w:rPr>
          <w:rFonts w:eastAsia="方正黑体简体"/>
          <w:sz w:val="32"/>
          <w:szCs w:val="32"/>
        </w:rPr>
        <w:t>5  后期处置</w:t>
      </w:r>
      <w:bookmarkEnd w:id="64"/>
      <w:bookmarkEnd w:id="65"/>
    </w:p>
    <w:p w14:paraId="12F92DBA">
      <w:pPr>
        <w:spacing w:line="600" w:lineRule="exact"/>
        <w:ind w:firstLine="632" w:firstLineChars="200"/>
        <w:rPr>
          <w:rFonts w:eastAsia="方正楷体简体"/>
          <w:sz w:val="32"/>
          <w:szCs w:val="32"/>
        </w:rPr>
      </w:pPr>
      <w:bookmarkStart w:id="66" w:name="_Toc393274665"/>
      <w:bookmarkStart w:id="67" w:name="_Toc375899846"/>
      <w:r>
        <w:rPr>
          <w:rFonts w:eastAsia="方正楷体简体"/>
          <w:sz w:val="32"/>
          <w:szCs w:val="32"/>
        </w:rPr>
        <w:t>5.1 善后处置</w:t>
      </w:r>
      <w:bookmarkEnd w:id="66"/>
      <w:bookmarkEnd w:id="67"/>
    </w:p>
    <w:p w14:paraId="374DE4EB">
      <w:pPr>
        <w:spacing w:line="600" w:lineRule="exact"/>
        <w:ind w:firstLine="632" w:firstLineChars="200"/>
        <w:rPr>
          <w:rFonts w:eastAsia="方正仿宋简体"/>
          <w:sz w:val="32"/>
          <w:szCs w:val="32"/>
        </w:rPr>
      </w:pPr>
      <w:r>
        <w:rPr>
          <w:rFonts w:eastAsia="方正仿宋简体"/>
          <w:sz w:val="32"/>
          <w:szCs w:val="32"/>
        </w:rPr>
        <w:t>县政府组织有关专家对受影响地区的范围进行科学评估，制定补助、补偿、抚慰、抚恤、安置和环境恢复等善后工作计划，并组织实施，做好受害人员的安置等善后处置工作。</w:t>
      </w:r>
    </w:p>
    <w:p w14:paraId="1B26784F">
      <w:pPr>
        <w:spacing w:line="600" w:lineRule="exact"/>
        <w:ind w:firstLine="632" w:firstLineChars="200"/>
        <w:rPr>
          <w:rFonts w:eastAsia="方正楷体简体"/>
          <w:sz w:val="32"/>
          <w:szCs w:val="32"/>
        </w:rPr>
      </w:pPr>
      <w:bookmarkStart w:id="68" w:name="_Toc375899847"/>
      <w:bookmarkStart w:id="69" w:name="_Toc393274666"/>
      <w:r>
        <w:rPr>
          <w:rFonts w:eastAsia="方正楷体简体"/>
          <w:sz w:val="32"/>
          <w:szCs w:val="32"/>
        </w:rPr>
        <w:t>5.2 保险</w:t>
      </w:r>
      <w:bookmarkEnd w:id="68"/>
      <w:bookmarkEnd w:id="69"/>
    </w:p>
    <w:p w14:paraId="020570AA">
      <w:pPr>
        <w:spacing w:line="600" w:lineRule="exact"/>
        <w:ind w:firstLine="632" w:firstLineChars="200"/>
        <w:rPr>
          <w:rFonts w:eastAsia="方正仿宋简体"/>
          <w:sz w:val="32"/>
          <w:szCs w:val="32"/>
        </w:rPr>
      </w:pPr>
      <w:r>
        <w:rPr>
          <w:rFonts w:eastAsia="方正仿宋简体"/>
          <w:sz w:val="32"/>
          <w:szCs w:val="32"/>
        </w:rPr>
        <w:t>可能引起突发环境事件的企业事业单位，要依法办理相关责任险或其他险种。县直有关部门和各乡（镇、街道）集中式饮用水水源地及有关单位要为环境应急工作人员办理人身意外伤害保险。适用《工伤保险条例》规定应参加工伤保险的单位，要为这些人员办理工伤保险。特别是发生过特别重大、重大污染事故的危险源单位应当进行强制保险。</w:t>
      </w:r>
    </w:p>
    <w:p w14:paraId="1036B86F">
      <w:pPr>
        <w:spacing w:line="600" w:lineRule="exact"/>
        <w:ind w:firstLine="632" w:firstLineChars="200"/>
        <w:rPr>
          <w:rFonts w:eastAsia="方正楷体简体"/>
          <w:sz w:val="32"/>
          <w:szCs w:val="32"/>
        </w:rPr>
      </w:pPr>
      <w:bookmarkStart w:id="70" w:name="_Toc375899849"/>
      <w:bookmarkStart w:id="71" w:name="_Toc393274667"/>
      <w:r>
        <w:rPr>
          <w:rFonts w:eastAsia="方正楷体简体"/>
          <w:sz w:val="32"/>
          <w:szCs w:val="32"/>
        </w:rPr>
        <w:t>5.3 总结评估</w:t>
      </w:r>
      <w:bookmarkEnd w:id="70"/>
      <w:bookmarkEnd w:id="71"/>
    </w:p>
    <w:p w14:paraId="0A633F93">
      <w:pPr>
        <w:spacing w:line="600" w:lineRule="exact"/>
        <w:ind w:firstLine="632" w:firstLineChars="200"/>
        <w:rPr>
          <w:rFonts w:eastAsia="方正仿宋简体"/>
          <w:b/>
          <w:sz w:val="32"/>
          <w:szCs w:val="32"/>
        </w:rPr>
      </w:pPr>
      <w:r>
        <w:rPr>
          <w:rFonts w:eastAsia="方正仿宋简体"/>
          <w:b/>
          <w:sz w:val="32"/>
          <w:szCs w:val="32"/>
        </w:rPr>
        <w:t>⑴综合评估</w:t>
      </w:r>
    </w:p>
    <w:p w14:paraId="01F99718">
      <w:pPr>
        <w:spacing w:line="600" w:lineRule="exact"/>
        <w:ind w:firstLine="632" w:firstLineChars="200"/>
        <w:rPr>
          <w:rFonts w:eastAsia="方正仿宋简体"/>
          <w:sz w:val="32"/>
          <w:szCs w:val="32"/>
        </w:rPr>
      </w:pPr>
      <w:r>
        <w:rPr>
          <w:rFonts w:eastAsia="方正仿宋简体"/>
          <w:sz w:val="32"/>
          <w:szCs w:val="32"/>
        </w:rPr>
        <w:t>县应急处置领导小组办公室要对集中式饮用水水源地污染事件的起因、性质、影响、责任、经验教训和恢复重建等问题进行综合评估，并作出报告。综合评估报告应根据事件等级特别重大（级）、重大（级）、较大（级）、一般（级），分别在应急终止后的30天、20天、15天和10天内完成。</w:t>
      </w:r>
    </w:p>
    <w:p w14:paraId="50055F49">
      <w:pPr>
        <w:spacing w:line="600" w:lineRule="exact"/>
        <w:ind w:firstLine="632" w:firstLineChars="200"/>
        <w:rPr>
          <w:rFonts w:eastAsia="方正仿宋简体"/>
          <w:sz w:val="32"/>
          <w:szCs w:val="32"/>
        </w:rPr>
      </w:pPr>
      <w:r>
        <w:rPr>
          <w:rFonts w:eastAsia="方正仿宋简体"/>
          <w:sz w:val="32"/>
          <w:szCs w:val="32"/>
        </w:rPr>
        <w:t>综合评估报告应包括的主要内容：</w:t>
      </w:r>
    </w:p>
    <w:p w14:paraId="783E9CCB">
      <w:pPr>
        <w:spacing w:line="600" w:lineRule="exact"/>
        <w:ind w:firstLine="632" w:firstLineChars="200"/>
        <w:rPr>
          <w:rFonts w:eastAsia="方正仿宋简体"/>
          <w:sz w:val="32"/>
          <w:szCs w:val="32"/>
        </w:rPr>
      </w:pPr>
      <w:r>
        <w:rPr>
          <w:rFonts w:eastAsia="方正仿宋简体"/>
          <w:sz w:val="32"/>
          <w:szCs w:val="32"/>
        </w:rPr>
        <w:t>整理和审查所有应急记录和文件等资料；</w:t>
      </w:r>
    </w:p>
    <w:p w14:paraId="70C4E9F8">
      <w:pPr>
        <w:spacing w:line="600" w:lineRule="exact"/>
        <w:ind w:firstLine="616" w:firstLineChars="200"/>
        <w:rPr>
          <w:rFonts w:eastAsia="方正仿宋简体"/>
          <w:spacing w:val="-4"/>
          <w:sz w:val="32"/>
          <w:szCs w:val="32"/>
        </w:rPr>
      </w:pPr>
      <w:r>
        <w:rPr>
          <w:rFonts w:eastAsia="方正仿宋简体"/>
          <w:spacing w:val="-4"/>
          <w:sz w:val="32"/>
          <w:szCs w:val="32"/>
        </w:rPr>
        <w:t>分析、评估事件起因、过程及后果（包括伤亡、经济损失等）；</w:t>
      </w:r>
    </w:p>
    <w:p w14:paraId="71B98F7E">
      <w:pPr>
        <w:spacing w:line="600" w:lineRule="exact"/>
        <w:ind w:firstLine="632" w:firstLineChars="200"/>
        <w:rPr>
          <w:rFonts w:eastAsia="方正仿宋简体"/>
          <w:sz w:val="32"/>
          <w:szCs w:val="32"/>
        </w:rPr>
      </w:pPr>
      <w:r>
        <w:rPr>
          <w:rFonts w:eastAsia="方正仿宋简体"/>
          <w:sz w:val="32"/>
          <w:szCs w:val="32"/>
        </w:rPr>
        <w:t>分析、评估主要应急措施及其有效性；</w:t>
      </w:r>
    </w:p>
    <w:p w14:paraId="5EEA73C6">
      <w:pPr>
        <w:spacing w:line="600" w:lineRule="exact"/>
        <w:ind w:firstLine="632" w:firstLineChars="200"/>
        <w:rPr>
          <w:rFonts w:eastAsia="方正仿宋简体"/>
          <w:sz w:val="32"/>
          <w:szCs w:val="32"/>
        </w:rPr>
      </w:pPr>
      <w:r>
        <w:rPr>
          <w:rFonts w:eastAsia="方正仿宋简体"/>
          <w:sz w:val="32"/>
          <w:szCs w:val="32"/>
        </w:rPr>
        <w:t>事件结论、主要经验教训、责任人认定及处理意见（包含各种必要的附件）等；</w:t>
      </w:r>
    </w:p>
    <w:p w14:paraId="7941450A">
      <w:pPr>
        <w:spacing w:line="600" w:lineRule="exact"/>
        <w:ind w:firstLine="632" w:firstLineChars="200"/>
        <w:rPr>
          <w:rFonts w:eastAsia="方正仿宋简体"/>
          <w:sz w:val="32"/>
          <w:szCs w:val="32"/>
        </w:rPr>
      </w:pPr>
      <w:r>
        <w:rPr>
          <w:rFonts w:eastAsia="方正仿宋简体"/>
          <w:sz w:val="32"/>
          <w:szCs w:val="32"/>
        </w:rPr>
        <w:t>对饮用水源地保护规划、管理等方面提出改进建议等。</w:t>
      </w:r>
    </w:p>
    <w:p w14:paraId="7B171004">
      <w:pPr>
        <w:spacing w:line="600" w:lineRule="exact"/>
        <w:ind w:firstLine="632" w:firstLineChars="200"/>
        <w:rPr>
          <w:rFonts w:eastAsia="方正仿宋简体"/>
          <w:b/>
          <w:sz w:val="32"/>
          <w:szCs w:val="32"/>
        </w:rPr>
      </w:pPr>
      <w:r>
        <w:rPr>
          <w:rFonts w:eastAsia="方正仿宋简体"/>
          <w:b/>
          <w:sz w:val="32"/>
          <w:szCs w:val="32"/>
        </w:rPr>
        <w:t>⑵事件总结</w:t>
      </w:r>
    </w:p>
    <w:p w14:paraId="1C93B459">
      <w:pPr>
        <w:spacing w:line="600" w:lineRule="exact"/>
        <w:ind w:firstLine="632" w:firstLineChars="200"/>
        <w:rPr>
          <w:rFonts w:eastAsia="方正仿宋简体"/>
          <w:sz w:val="32"/>
          <w:szCs w:val="32"/>
        </w:rPr>
      </w:pPr>
      <w:r>
        <w:rPr>
          <w:rFonts w:eastAsia="方正仿宋简体"/>
          <w:sz w:val="32"/>
          <w:szCs w:val="32"/>
        </w:rPr>
        <w:t>综合评估结束后，县应急处置领导小组办公室要全面总结应急处置工作，并形成书面材料上报县政府。</w:t>
      </w:r>
    </w:p>
    <w:p w14:paraId="25437808">
      <w:pPr>
        <w:spacing w:line="600" w:lineRule="exact"/>
        <w:ind w:firstLine="632" w:firstLineChars="200"/>
        <w:rPr>
          <w:rFonts w:eastAsia="方正楷体简体"/>
          <w:sz w:val="32"/>
          <w:szCs w:val="32"/>
        </w:rPr>
      </w:pPr>
      <w:bookmarkStart w:id="72" w:name="_Toc375899850"/>
      <w:bookmarkStart w:id="73" w:name="_Toc393274668"/>
      <w:r>
        <w:rPr>
          <w:rFonts w:eastAsia="方正楷体简体"/>
          <w:sz w:val="32"/>
          <w:szCs w:val="32"/>
        </w:rPr>
        <w:t>5.4 恢复重建</w:t>
      </w:r>
      <w:bookmarkEnd w:id="72"/>
      <w:bookmarkEnd w:id="73"/>
    </w:p>
    <w:p w14:paraId="535904AB">
      <w:pPr>
        <w:spacing w:line="600" w:lineRule="exact"/>
        <w:ind w:firstLine="632" w:firstLineChars="200"/>
        <w:rPr>
          <w:rFonts w:eastAsia="方正仿宋简体"/>
          <w:sz w:val="32"/>
          <w:szCs w:val="32"/>
        </w:rPr>
      </w:pPr>
      <w:r>
        <w:rPr>
          <w:rFonts w:eastAsia="方正仿宋简体"/>
          <w:sz w:val="32"/>
          <w:szCs w:val="32"/>
        </w:rPr>
        <w:t>突发事件事态得到有效控制后，应急管理从抢险救灾为主的阶段转变为以恢复重建为主的阶段。使社会生产活动恢复正常状态，对因为环境影响而不能恢复的设施等进行重新建设。</w:t>
      </w:r>
    </w:p>
    <w:p w14:paraId="4A8A5BF9">
      <w:pPr>
        <w:spacing w:line="600" w:lineRule="exact"/>
        <w:ind w:firstLine="632" w:firstLineChars="200"/>
        <w:rPr>
          <w:rFonts w:eastAsia="方正黑体简体"/>
          <w:sz w:val="32"/>
          <w:szCs w:val="32"/>
        </w:rPr>
      </w:pPr>
      <w:bookmarkStart w:id="74" w:name="_Toc375899851"/>
      <w:bookmarkStart w:id="75" w:name="_Toc393274669"/>
      <w:r>
        <w:rPr>
          <w:rFonts w:eastAsia="方正黑体简体"/>
          <w:sz w:val="32"/>
          <w:szCs w:val="32"/>
        </w:rPr>
        <w:t>6  应急保障</w:t>
      </w:r>
      <w:bookmarkEnd w:id="74"/>
      <w:bookmarkEnd w:id="75"/>
    </w:p>
    <w:p w14:paraId="503EBD8A">
      <w:pPr>
        <w:spacing w:line="600" w:lineRule="exact"/>
        <w:ind w:firstLine="632" w:firstLineChars="200"/>
        <w:rPr>
          <w:rFonts w:eastAsia="方正楷体简体"/>
          <w:sz w:val="32"/>
          <w:szCs w:val="32"/>
        </w:rPr>
      </w:pPr>
      <w:bookmarkStart w:id="76" w:name="_Toc375899852"/>
      <w:bookmarkStart w:id="77" w:name="_Toc393274670"/>
      <w:r>
        <w:rPr>
          <w:rFonts w:eastAsia="方正楷体简体"/>
          <w:sz w:val="32"/>
          <w:szCs w:val="32"/>
        </w:rPr>
        <w:t>6.1 资金保障</w:t>
      </w:r>
      <w:bookmarkEnd w:id="76"/>
      <w:bookmarkEnd w:id="77"/>
    </w:p>
    <w:p w14:paraId="20952EB5">
      <w:pPr>
        <w:spacing w:line="600" w:lineRule="exact"/>
        <w:ind w:firstLine="632" w:firstLineChars="200"/>
        <w:rPr>
          <w:rFonts w:eastAsia="方正仿宋简体"/>
          <w:sz w:val="32"/>
          <w:szCs w:val="32"/>
        </w:rPr>
      </w:pPr>
      <w:r>
        <w:rPr>
          <w:rFonts w:eastAsia="方正仿宋简体"/>
          <w:sz w:val="32"/>
          <w:szCs w:val="32"/>
        </w:rPr>
        <w:t>突发环境事件应急指挥机构组成部门根据本部门应对突发环境事件预防、预警、应急处置的需要提出项目支出预算，编制相应的环境应急管理能力建设规划，报县政府审批后执行。</w:t>
      </w:r>
    </w:p>
    <w:p w14:paraId="5EFD146A">
      <w:pPr>
        <w:spacing w:line="600" w:lineRule="exact"/>
        <w:ind w:firstLine="632" w:firstLineChars="200"/>
        <w:rPr>
          <w:rFonts w:eastAsia="方正楷体简体"/>
          <w:sz w:val="32"/>
          <w:szCs w:val="32"/>
        </w:rPr>
      </w:pPr>
      <w:bookmarkStart w:id="78" w:name="_Toc375899853"/>
      <w:bookmarkStart w:id="79" w:name="_Toc393274671"/>
      <w:r>
        <w:rPr>
          <w:rFonts w:eastAsia="方正楷体简体"/>
          <w:sz w:val="32"/>
          <w:szCs w:val="32"/>
        </w:rPr>
        <w:t>6.2 装备、物资保障</w:t>
      </w:r>
      <w:bookmarkEnd w:id="78"/>
      <w:bookmarkEnd w:id="79"/>
    </w:p>
    <w:p w14:paraId="74686806">
      <w:pPr>
        <w:spacing w:line="600" w:lineRule="exact"/>
        <w:ind w:firstLine="632" w:firstLineChars="200"/>
        <w:rPr>
          <w:rFonts w:eastAsia="方正仿宋简体"/>
          <w:sz w:val="32"/>
          <w:szCs w:val="32"/>
        </w:rPr>
      </w:pPr>
      <w:r>
        <w:rPr>
          <w:rFonts w:eastAsia="方正仿宋简体"/>
          <w:sz w:val="32"/>
          <w:szCs w:val="32"/>
        </w:rPr>
        <w:t>突发环境事件应急指挥机构组成部门及单位要充分发挥职能作用，在积极发挥现有检验、鉴定、监测力量的基础上，根据工作需要和职责要求，加强危险化学品、危险废物检验、鉴定和监测设备建设。增加应急处置设备、快速机动设备、通信设备和自身防护装备，储备应急物资，不断提高应急监测，动态监控的能力，在发生突发环境事件时能有效控制和减少对环境的危害。</w:t>
      </w:r>
    </w:p>
    <w:p w14:paraId="746F11C9">
      <w:pPr>
        <w:spacing w:line="600" w:lineRule="exact"/>
        <w:ind w:firstLine="632" w:firstLineChars="200"/>
        <w:rPr>
          <w:rFonts w:eastAsia="方正楷体简体"/>
          <w:sz w:val="32"/>
          <w:szCs w:val="32"/>
        </w:rPr>
      </w:pPr>
      <w:bookmarkStart w:id="80" w:name="_Toc393274672"/>
      <w:bookmarkStart w:id="81" w:name="_Toc375899854"/>
      <w:r>
        <w:rPr>
          <w:rFonts w:eastAsia="方正楷体简体"/>
          <w:sz w:val="32"/>
          <w:szCs w:val="32"/>
        </w:rPr>
        <w:t>6.3 通信保障</w:t>
      </w:r>
      <w:bookmarkEnd w:id="80"/>
      <w:bookmarkEnd w:id="81"/>
    </w:p>
    <w:p w14:paraId="21CC99E1">
      <w:pPr>
        <w:spacing w:line="600" w:lineRule="exact"/>
        <w:ind w:firstLine="632" w:firstLineChars="200"/>
        <w:rPr>
          <w:rFonts w:eastAsia="方正仿宋简体"/>
          <w:sz w:val="32"/>
          <w:szCs w:val="32"/>
        </w:rPr>
      </w:pPr>
      <w:r>
        <w:rPr>
          <w:rFonts w:eastAsia="方正仿宋简体"/>
          <w:sz w:val="32"/>
          <w:szCs w:val="32"/>
        </w:rPr>
        <w:t>充分发挥12369环保举报热线的作用，做好系统的运行维护，确保信息畅通；电信公司要保障突发环境事件处置过程中的通信畅通，必要时在现场开通应急通讯设施。</w:t>
      </w:r>
    </w:p>
    <w:p w14:paraId="49DA1594">
      <w:pPr>
        <w:spacing w:line="600" w:lineRule="exact"/>
        <w:ind w:firstLine="632" w:firstLineChars="200"/>
        <w:rPr>
          <w:rFonts w:eastAsia="方正楷体简体"/>
          <w:sz w:val="32"/>
          <w:szCs w:val="32"/>
        </w:rPr>
      </w:pPr>
      <w:bookmarkStart w:id="82" w:name="_Toc393274673"/>
      <w:bookmarkStart w:id="83" w:name="_Toc375899855"/>
      <w:r>
        <w:rPr>
          <w:rFonts w:eastAsia="方正楷体简体"/>
          <w:sz w:val="32"/>
          <w:szCs w:val="32"/>
        </w:rPr>
        <w:t>6.4 人力资源保障</w:t>
      </w:r>
      <w:bookmarkEnd w:id="82"/>
      <w:bookmarkEnd w:id="83"/>
    </w:p>
    <w:p w14:paraId="32E4E525">
      <w:pPr>
        <w:spacing w:line="600" w:lineRule="exact"/>
        <w:ind w:firstLine="632" w:firstLineChars="200"/>
        <w:rPr>
          <w:rFonts w:eastAsia="方正仿宋简体"/>
          <w:sz w:val="32"/>
          <w:szCs w:val="32"/>
        </w:rPr>
      </w:pPr>
      <w:r>
        <w:rPr>
          <w:rFonts w:eastAsia="方正仿宋简体"/>
          <w:sz w:val="32"/>
          <w:szCs w:val="32"/>
        </w:rPr>
        <w:t>突发环境事件应急指挥机构组成部门要建立突发环境事件应急救援队伍；要加强各级环境应急队伍的建设，提高其应对突发环境事件的水平和能力；培训一支常备不懈，熟悉环境应急知识，充分掌握各类突发环境事件处置措施的常备应急力量；形成由县、乡（镇</w:t>
      </w:r>
      <w:r>
        <w:rPr>
          <w:rFonts w:hint="eastAsia" w:eastAsia="方正仿宋简体"/>
          <w:sz w:val="32"/>
          <w:szCs w:val="32"/>
        </w:rPr>
        <w:t>、</w:t>
      </w:r>
      <w:r>
        <w:rPr>
          <w:rFonts w:eastAsia="方正仿宋简体"/>
          <w:sz w:val="32"/>
          <w:szCs w:val="32"/>
        </w:rPr>
        <w:t>街道）和相关企业组成的环境应急网络，保证在突发环境事件发生后，能迅速参与并完成抢救、排险、消毒、监测等现场处置工作。</w:t>
      </w:r>
    </w:p>
    <w:p w14:paraId="12454DC6">
      <w:pPr>
        <w:spacing w:line="600" w:lineRule="exact"/>
        <w:ind w:firstLine="632" w:firstLineChars="200"/>
        <w:rPr>
          <w:rFonts w:eastAsia="方正楷体简体"/>
          <w:sz w:val="32"/>
          <w:szCs w:val="32"/>
        </w:rPr>
      </w:pPr>
      <w:bookmarkStart w:id="84" w:name="_Toc393274674"/>
      <w:bookmarkStart w:id="85" w:name="_Toc375899856"/>
      <w:r>
        <w:rPr>
          <w:rFonts w:eastAsia="方正楷体简体"/>
          <w:sz w:val="32"/>
          <w:szCs w:val="32"/>
        </w:rPr>
        <w:t>6.5 技术保障</w:t>
      </w:r>
      <w:bookmarkEnd w:id="84"/>
      <w:bookmarkEnd w:id="85"/>
    </w:p>
    <w:p w14:paraId="647D24A9">
      <w:pPr>
        <w:spacing w:line="600" w:lineRule="exact"/>
        <w:ind w:firstLine="632" w:firstLineChars="200"/>
        <w:rPr>
          <w:rFonts w:eastAsia="方正仿宋简体"/>
          <w:sz w:val="32"/>
          <w:szCs w:val="32"/>
        </w:rPr>
      </w:pPr>
      <w:r>
        <w:rPr>
          <w:rFonts w:eastAsia="方正仿宋简体"/>
          <w:sz w:val="32"/>
          <w:szCs w:val="32"/>
        </w:rPr>
        <w:t>突发环境事件应急指挥机构组成部门要设立专项资金加强对现场处置先进技术、装备的研究工作，建立科学的环境应急指挥技术平台，实现信息综合集成、分析处理、污染评估的智能化和数字化, 确保决策的科学性。加强应急专家信息库的建设，对突发环境事件的应急处置与救援、事后恢复与重建提供技术支撑，提高应急处置能力。</w:t>
      </w:r>
    </w:p>
    <w:p w14:paraId="5A6D336E">
      <w:pPr>
        <w:spacing w:line="600" w:lineRule="exact"/>
        <w:ind w:firstLine="632" w:firstLineChars="200"/>
        <w:rPr>
          <w:rFonts w:eastAsia="方正楷体简体"/>
          <w:sz w:val="32"/>
          <w:szCs w:val="32"/>
        </w:rPr>
      </w:pPr>
      <w:bookmarkStart w:id="86" w:name="_Toc375899857"/>
      <w:bookmarkStart w:id="87" w:name="_Toc393274675"/>
      <w:r>
        <w:rPr>
          <w:rFonts w:eastAsia="方正楷体简体"/>
          <w:sz w:val="32"/>
          <w:szCs w:val="32"/>
        </w:rPr>
        <w:t>6.6 应急资源的管理</w:t>
      </w:r>
      <w:bookmarkEnd w:id="86"/>
      <w:bookmarkEnd w:id="87"/>
    </w:p>
    <w:p w14:paraId="555D20B2">
      <w:pPr>
        <w:spacing w:line="600" w:lineRule="exact"/>
        <w:ind w:firstLine="632" w:firstLineChars="200"/>
        <w:rPr>
          <w:rFonts w:eastAsia="方正仿宋简体"/>
          <w:sz w:val="32"/>
          <w:szCs w:val="32"/>
        </w:rPr>
      </w:pPr>
      <w:r>
        <w:rPr>
          <w:rFonts w:eastAsia="方正仿宋简体"/>
          <w:sz w:val="32"/>
          <w:szCs w:val="32"/>
        </w:rPr>
        <w:t>建立健全地方环境应急通信网络及应急物资生产、储备、调拨和紧急配送体系，保障应急处置和恢复治理工作的需要。合理规划建设沙县重要应急物资储备库，按照分级负责的原则，加强乡（镇、街道）应急物资储备库建设。充分发挥社会各方面在突发环境事件应急物资生产和储备方面的作用，实现社会储备与专业储备的有机结合。在国家、省的指导下，建立健全国家、地方和基层单位突发环境事件应急资源储备制度，在对现有饮用水源突发环境事件应急资源普查和有效整合的基础上，统筹规划应急处置所需物料、装备、通信器材、生活用品等物资和紧急避难场所，以及运输能力、通信能力、生产能力和有关技术、信息的储备。加强对储备物资的动态管理，保证及时补充和更新。加强突发环境事件应急管理基础数据库建设和对有关技术资料、历史资料等的收集管理，实现资源共享。</w:t>
      </w:r>
    </w:p>
    <w:p w14:paraId="32F0FAED">
      <w:pPr>
        <w:spacing w:line="600" w:lineRule="exact"/>
        <w:ind w:firstLine="632" w:firstLineChars="200"/>
        <w:rPr>
          <w:rFonts w:eastAsia="方正楷体简体"/>
          <w:sz w:val="32"/>
          <w:szCs w:val="32"/>
        </w:rPr>
      </w:pPr>
      <w:bookmarkStart w:id="88" w:name="_Toc393274676"/>
      <w:bookmarkStart w:id="89" w:name="_Toc375899858"/>
      <w:r>
        <w:rPr>
          <w:rFonts w:eastAsia="方正楷体简体"/>
          <w:sz w:val="32"/>
          <w:szCs w:val="32"/>
        </w:rPr>
        <w:t>6.7 宣传、培训与演练</w:t>
      </w:r>
      <w:bookmarkEnd w:id="88"/>
      <w:bookmarkEnd w:id="89"/>
    </w:p>
    <w:p w14:paraId="4C21BF25">
      <w:pPr>
        <w:spacing w:line="600" w:lineRule="exact"/>
        <w:ind w:firstLine="632" w:firstLineChars="200"/>
        <w:rPr>
          <w:rFonts w:eastAsia="方正仿宋简体"/>
          <w:sz w:val="32"/>
          <w:szCs w:val="32"/>
        </w:rPr>
      </w:pPr>
      <w:r>
        <w:rPr>
          <w:rFonts w:eastAsia="方正仿宋简体"/>
          <w:b/>
          <w:sz w:val="32"/>
          <w:szCs w:val="32"/>
        </w:rPr>
        <w:t>6.7.1</w:t>
      </w:r>
      <w:r>
        <w:rPr>
          <w:rFonts w:eastAsia="方正仿宋简体"/>
          <w:sz w:val="32"/>
          <w:szCs w:val="32"/>
        </w:rPr>
        <w:t>突发环境事件应急指挥机构办公室应加强环境保护科普、</w:t>
      </w:r>
      <w:r>
        <w:rPr>
          <w:rFonts w:hint="eastAsia" w:eastAsia="方正仿宋简体"/>
          <w:sz w:val="32"/>
          <w:szCs w:val="32"/>
          <w:lang w:eastAsia="zh-CN"/>
        </w:rPr>
        <w:t>法治</w:t>
      </w:r>
      <w:r>
        <w:rPr>
          <w:rFonts w:eastAsia="方正仿宋简体"/>
          <w:sz w:val="32"/>
          <w:szCs w:val="32"/>
        </w:rPr>
        <w:t>宣传教育工作，普及环境污染事件预防常识，编印、发放有毒有害物质污染公众防护“明白卡”，增强公众的防范意识和相关心理准备，提高公众的防范和自救能力。</w:t>
      </w:r>
    </w:p>
    <w:p w14:paraId="3C1488A0">
      <w:pPr>
        <w:spacing w:line="600" w:lineRule="exact"/>
        <w:ind w:firstLine="632" w:firstLineChars="200"/>
        <w:rPr>
          <w:rFonts w:eastAsia="方正仿宋简体"/>
          <w:sz w:val="32"/>
          <w:szCs w:val="32"/>
        </w:rPr>
      </w:pPr>
      <w:r>
        <w:rPr>
          <w:rFonts w:eastAsia="方正仿宋简体"/>
          <w:b/>
          <w:sz w:val="32"/>
          <w:szCs w:val="32"/>
        </w:rPr>
        <w:t>6.7.2</w:t>
      </w:r>
      <w:r>
        <w:rPr>
          <w:rFonts w:eastAsia="方正仿宋简体"/>
          <w:sz w:val="32"/>
          <w:szCs w:val="32"/>
        </w:rPr>
        <w:t>突发环境事件应急指挥机构各组成部门应有计划的开展突发环境事件应急专业技术人员日常培训，培养一批训练有素的环境应急处置、检验、监测等专门人才。</w:t>
      </w:r>
    </w:p>
    <w:p w14:paraId="19C31478">
      <w:pPr>
        <w:spacing w:line="600" w:lineRule="exact"/>
        <w:ind w:firstLine="632" w:firstLineChars="200"/>
        <w:rPr>
          <w:rFonts w:eastAsia="方正仿宋简体"/>
          <w:sz w:val="32"/>
          <w:szCs w:val="32"/>
        </w:rPr>
      </w:pPr>
      <w:r>
        <w:rPr>
          <w:rFonts w:eastAsia="方正仿宋简体"/>
          <w:b/>
          <w:sz w:val="32"/>
          <w:szCs w:val="32"/>
        </w:rPr>
        <w:t>6.7.3</w:t>
      </w:r>
      <w:r>
        <w:rPr>
          <w:rFonts w:eastAsia="方正仿宋简体"/>
          <w:sz w:val="32"/>
          <w:szCs w:val="32"/>
        </w:rPr>
        <w:t>突发环境事件应急指挥机构各组成部门，按照环境应急预案及相关专项预案，参与由突发环境事件应急指挥机构或沙县环保局组织的不同类型的环境应急演练，每年一次，提高防范和处置突发环境事件的技能，增强实战能力。</w:t>
      </w:r>
    </w:p>
    <w:p w14:paraId="173B8363">
      <w:pPr>
        <w:spacing w:line="600" w:lineRule="exact"/>
        <w:ind w:firstLine="632" w:firstLineChars="200"/>
        <w:rPr>
          <w:rFonts w:eastAsia="方正黑体简体"/>
          <w:sz w:val="32"/>
          <w:szCs w:val="32"/>
        </w:rPr>
      </w:pPr>
      <w:bookmarkStart w:id="90" w:name="_Toc375899859"/>
      <w:bookmarkStart w:id="91" w:name="_Toc393274677"/>
      <w:r>
        <w:rPr>
          <w:rFonts w:eastAsia="方正黑体简体"/>
          <w:sz w:val="32"/>
          <w:szCs w:val="32"/>
        </w:rPr>
        <w:t>7  监督管理</w:t>
      </w:r>
      <w:bookmarkEnd w:id="90"/>
      <w:bookmarkEnd w:id="91"/>
    </w:p>
    <w:p w14:paraId="480DC83C">
      <w:pPr>
        <w:spacing w:line="600" w:lineRule="exact"/>
        <w:ind w:firstLine="632" w:firstLineChars="200"/>
        <w:rPr>
          <w:rFonts w:eastAsia="方正仿宋简体"/>
          <w:sz w:val="32"/>
          <w:szCs w:val="32"/>
        </w:rPr>
      </w:pPr>
      <w:r>
        <w:rPr>
          <w:rFonts w:eastAsia="方正仿宋简体"/>
          <w:sz w:val="32"/>
          <w:szCs w:val="32"/>
        </w:rPr>
        <w:t>为保障环境应急体系始终处于良好的战备状态，应强化环境应急的常态管理，并持续改进。</w:t>
      </w:r>
    </w:p>
    <w:p w14:paraId="4DAC7052">
      <w:pPr>
        <w:spacing w:line="600" w:lineRule="exact"/>
        <w:ind w:firstLine="632" w:firstLineChars="200"/>
        <w:rPr>
          <w:rFonts w:eastAsia="方正楷体简体"/>
          <w:sz w:val="32"/>
          <w:szCs w:val="32"/>
        </w:rPr>
      </w:pPr>
      <w:bookmarkStart w:id="92" w:name="_Toc393274678"/>
      <w:bookmarkStart w:id="93" w:name="_Toc375899860"/>
      <w:r>
        <w:rPr>
          <w:rFonts w:eastAsia="方正楷体简体"/>
          <w:sz w:val="32"/>
          <w:szCs w:val="32"/>
        </w:rPr>
        <w:t>7.1 预案管理与修订</w:t>
      </w:r>
      <w:bookmarkEnd w:id="92"/>
      <w:bookmarkEnd w:id="93"/>
    </w:p>
    <w:p w14:paraId="0A5C18E7">
      <w:pPr>
        <w:spacing w:line="580" w:lineRule="exact"/>
        <w:ind w:firstLine="632" w:firstLineChars="200"/>
        <w:rPr>
          <w:rFonts w:eastAsia="方正仿宋简体"/>
          <w:sz w:val="32"/>
          <w:szCs w:val="32"/>
        </w:rPr>
      </w:pPr>
      <w:r>
        <w:rPr>
          <w:rFonts w:eastAsia="方正仿宋简体"/>
          <w:sz w:val="32"/>
          <w:szCs w:val="32"/>
        </w:rPr>
        <w:t>按照突发环境事件应急预案管理的有关规定，进行预案管理。县政府根据相关法律法规的制定和修改，部门职责或应急资源发生变化，以及突发环境事件应急实践中发现的问题和出现新的情况，及时修订完善本预案。</w:t>
      </w:r>
    </w:p>
    <w:p w14:paraId="75E09E8F">
      <w:pPr>
        <w:spacing w:line="580" w:lineRule="exact"/>
        <w:ind w:firstLine="632" w:firstLineChars="200"/>
        <w:rPr>
          <w:rFonts w:eastAsia="方正楷体简体"/>
          <w:sz w:val="32"/>
          <w:szCs w:val="32"/>
        </w:rPr>
      </w:pPr>
      <w:bookmarkStart w:id="94" w:name="_Toc393274679"/>
      <w:bookmarkStart w:id="95" w:name="_Toc375899861"/>
      <w:r>
        <w:rPr>
          <w:rFonts w:eastAsia="方正楷体简体"/>
          <w:sz w:val="32"/>
          <w:szCs w:val="32"/>
        </w:rPr>
        <w:t>7.2 监督考核工作机制</w:t>
      </w:r>
      <w:bookmarkEnd w:id="94"/>
      <w:bookmarkEnd w:id="95"/>
    </w:p>
    <w:p w14:paraId="06BF9028">
      <w:pPr>
        <w:spacing w:line="580" w:lineRule="exact"/>
        <w:ind w:firstLine="632" w:firstLineChars="200"/>
        <w:rPr>
          <w:rFonts w:eastAsia="方正仿宋简体"/>
          <w:sz w:val="32"/>
          <w:szCs w:val="32"/>
        </w:rPr>
      </w:pPr>
      <w:r>
        <w:rPr>
          <w:rFonts w:eastAsia="方正仿宋简体"/>
          <w:sz w:val="32"/>
          <w:szCs w:val="32"/>
        </w:rPr>
        <w:t>对各级环境应急机构的设置情况、环境应急预案的制定执行情况、工作制度和工作程序的建立与执行情况、队伍的建设和人员培训与考核情况等，应建立自上而下的监督、检查和考核工作机制。同时，应建立对应急装备和经费管理与使用情况等的审计监督制度。</w:t>
      </w:r>
    </w:p>
    <w:p w14:paraId="143E90F0">
      <w:pPr>
        <w:spacing w:line="580" w:lineRule="exact"/>
        <w:ind w:firstLine="632" w:firstLineChars="200"/>
        <w:rPr>
          <w:rFonts w:eastAsia="方正楷体简体"/>
          <w:sz w:val="32"/>
          <w:szCs w:val="32"/>
        </w:rPr>
      </w:pPr>
      <w:bookmarkStart w:id="96" w:name="_Toc393274680"/>
      <w:bookmarkStart w:id="97" w:name="_Toc375899862"/>
      <w:r>
        <w:rPr>
          <w:rFonts w:eastAsia="方正楷体简体"/>
          <w:sz w:val="32"/>
          <w:szCs w:val="32"/>
        </w:rPr>
        <w:t>7.3 奖励与责任追究</w:t>
      </w:r>
      <w:bookmarkEnd w:id="96"/>
      <w:bookmarkEnd w:id="97"/>
    </w:p>
    <w:p w14:paraId="6A6A947E">
      <w:pPr>
        <w:spacing w:line="580" w:lineRule="exact"/>
        <w:ind w:firstLine="632" w:firstLineChars="200"/>
        <w:rPr>
          <w:rFonts w:eastAsia="方正仿宋简体"/>
          <w:sz w:val="32"/>
          <w:szCs w:val="32"/>
        </w:rPr>
      </w:pPr>
      <w:r>
        <w:rPr>
          <w:rFonts w:eastAsia="方正仿宋简体"/>
          <w:sz w:val="32"/>
          <w:szCs w:val="32"/>
        </w:rPr>
        <w:t>突发环境事件应急工作建立奖励与责任追究制度，实行行政领导负责制和责任追究制。</w:t>
      </w:r>
    </w:p>
    <w:p w14:paraId="39A82A2B">
      <w:pPr>
        <w:spacing w:line="580" w:lineRule="exact"/>
        <w:ind w:firstLine="632" w:firstLineChars="200"/>
        <w:rPr>
          <w:rFonts w:eastAsia="方正仿宋简体"/>
          <w:b/>
          <w:sz w:val="32"/>
          <w:szCs w:val="32"/>
        </w:rPr>
      </w:pPr>
      <w:r>
        <w:rPr>
          <w:rFonts w:eastAsia="方正仿宋简体"/>
          <w:b/>
          <w:sz w:val="32"/>
          <w:szCs w:val="32"/>
        </w:rPr>
        <w:t>7.3.1 奖励</w:t>
      </w:r>
    </w:p>
    <w:p w14:paraId="7B3C864C">
      <w:pPr>
        <w:spacing w:line="580" w:lineRule="exact"/>
        <w:ind w:firstLine="632" w:firstLineChars="200"/>
        <w:rPr>
          <w:rFonts w:eastAsia="方正仿宋简体"/>
          <w:sz w:val="32"/>
          <w:szCs w:val="32"/>
        </w:rPr>
      </w:pPr>
      <w:r>
        <w:rPr>
          <w:rFonts w:eastAsia="方正仿宋简体"/>
          <w:sz w:val="32"/>
          <w:szCs w:val="32"/>
        </w:rPr>
        <w:t>在突发环境事件应急工作中，有下列事迹之一的单位和个人，依据有关规定给予奖励：</w:t>
      </w:r>
    </w:p>
    <w:p w14:paraId="5106D03E">
      <w:pPr>
        <w:spacing w:line="580" w:lineRule="exact"/>
        <w:ind w:firstLine="632" w:firstLineChars="200"/>
        <w:rPr>
          <w:rFonts w:eastAsia="方正仿宋简体"/>
          <w:sz w:val="32"/>
          <w:szCs w:val="32"/>
        </w:rPr>
      </w:pPr>
      <w:r>
        <w:rPr>
          <w:rFonts w:eastAsia="方正仿宋简体"/>
          <w:sz w:val="32"/>
          <w:szCs w:val="32"/>
        </w:rPr>
        <w:t>⑴完成突发环境事件应急处置任务，成绩显著的；</w:t>
      </w:r>
    </w:p>
    <w:p w14:paraId="3D438504">
      <w:pPr>
        <w:spacing w:line="580" w:lineRule="exact"/>
        <w:ind w:firstLine="632" w:firstLineChars="200"/>
        <w:rPr>
          <w:rFonts w:eastAsia="方正仿宋简体"/>
          <w:sz w:val="32"/>
          <w:szCs w:val="32"/>
        </w:rPr>
      </w:pPr>
      <w:r>
        <w:rPr>
          <w:rFonts w:eastAsia="方正仿宋简体"/>
          <w:sz w:val="32"/>
          <w:szCs w:val="32"/>
        </w:rPr>
        <w:t>⑵在突发环境事件应急处置中，使国家、集体和人民群众的生命财产免受或者减少损失的；</w:t>
      </w:r>
    </w:p>
    <w:p w14:paraId="173E3461">
      <w:pPr>
        <w:spacing w:line="580" w:lineRule="exact"/>
        <w:ind w:firstLine="632" w:firstLineChars="200"/>
        <w:rPr>
          <w:rFonts w:eastAsia="方正仿宋简体"/>
          <w:spacing w:val="-6"/>
          <w:sz w:val="32"/>
          <w:szCs w:val="32"/>
        </w:rPr>
      </w:pPr>
      <w:r>
        <w:rPr>
          <w:rFonts w:eastAsia="方正仿宋简体"/>
          <w:sz w:val="32"/>
          <w:szCs w:val="32"/>
        </w:rPr>
        <w:t>⑶</w:t>
      </w:r>
      <w:r>
        <w:rPr>
          <w:rFonts w:eastAsia="方正仿宋简体"/>
          <w:spacing w:val="-6"/>
          <w:sz w:val="32"/>
          <w:szCs w:val="32"/>
        </w:rPr>
        <w:t xml:space="preserve">对突发环境事件应急工作提出重大建议，实施效果显著的； </w:t>
      </w:r>
    </w:p>
    <w:p w14:paraId="5ACB895C">
      <w:pPr>
        <w:spacing w:line="580" w:lineRule="exact"/>
        <w:ind w:firstLine="632" w:firstLineChars="200"/>
        <w:rPr>
          <w:rFonts w:eastAsia="方正仿宋简体"/>
          <w:sz w:val="32"/>
          <w:szCs w:val="32"/>
        </w:rPr>
      </w:pPr>
      <w:r>
        <w:rPr>
          <w:rFonts w:hint="eastAsia" w:eastAsia="方正仿宋简体"/>
          <w:sz w:val="32"/>
          <w:szCs w:val="32"/>
        </w:rPr>
        <w:t>⑷</w:t>
      </w:r>
      <w:r>
        <w:rPr>
          <w:rFonts w:eastAsia="方正仿宋简体"/>
          <w:sz w:val="32"/>
          <w:szCs w:val="32"/>
        </w:rPr>
        <w:t>有其他特殊贡献的。</w:t>
      </w:r>
    </w:p>
    <w:p w14:paraId="304C60F2">
      <w:pPr>
        <w:spacing w:line="580" w:lineRule="exact"/>
        <w:ind w:firstLine="632" w:firstLineChars="200"/>
        <w:rPr>
          <w:rFonts w:eastAsia="方正仿宋简体"/>
          <w:b/>
          <w:sz w:val="32"/>
          <w:szCs w:val="32"/>
        </w:rPr>
      </w:pPr>
      <w:r>
        <w:rPr>
          <w:rFonts w:eastAsia="方正仿宋简体"/>
          <w:b/>
          <w:sz w:val="32"/>
          <w:szCs w:val="32"/>
        </w:rPr>
        <w:t>7.3.2 责任追究</w:t>
      </w:r>
    </w:p>
    <w:p w14:paraId="4D482059">
      <w:pPr>
        <w:spacing w:line="580" w:lineRule="exact"/>
        <w:ind w:firstLine="632" w:firstLineChars="200"/>
        <w:rPr>
          <w:rFonts w:eastAsia="方正仿宋简体"/>
          <w:sz w:val="32"/>
          <w:szCs w:val="32"/>
        </w:rPr>
      </w:pPr>
      <w:r>
        <w:rPr>
          <w:rFonts w:eastAsia="方正仿宋简体"/>
          <w:sz w:val="32"/>
          <w:szCs w:val="32"/>
        </w:rPr>
        <w:t>在突发环境事件应急工作中，有下列行为之一的，按照有关法律和规定，对有关责任人员视情节和危害后果，由其所在单位或纪检监察机构给予处分；构成犯罪的，由司法机关依法追究刑事责任：</w:t>
      </w:r>
    </w:p>
    <w:p w14:paraId="50975DD9">
      <w:pPr>
        <w:spacing w:line="580" w:lineRule="exact"/>
        <w:ind w:firstLine="632" w:firstLineChars="200"/>
        <w:rPr>
          <w:rFonts w:eastAsia="方正仿宋简体"/>
          <w:sz w:val="32"/>
          <w:szCs w:val="32"/>
        </w:rPr>
      </w:pPr>
      <w:r>
        <w:rPr>
          <w:rFonts w:eastAsia="方正仿宋简体"/>
          <w:sz w:val="32"/>
          <w:szCs w:val="32"/>
        </w:rPr>
        <w:t>⑴未认真履行环保法律、法规规定的义务，引发突发环境事件的；</w:t>
      </w:r>
    </w:p>
    <w:p w14:paraId="10EAFCD4">
      <w:pPr>
        <w:spacing w:line="580" w:lineRule="exact"/>
        <w:ind w:firstLine="632" w:firstLineChars="200"/>
        <w:rPr>
          <w:rFonts w:eastAsia="方正仿宋简体"/>
          <w:sz w:val="32"/>
          <w:szCs w:val="32"/>
        </w:rPr>
      </w:pPr>
      <w:r>
        <w:rPr>
          <w:rFonts w:eastAsia="方正仿宋简体"/>
          <w:sz w:val="32"/>
          <w:szCs w:val="32"/>
        </w:rPr>
        <w:t>⑵未按照规定制定突发环境事件应急预案，拒绝承担突发环境事件应急准备义务的；</w:t>
      </w:r>
    </w:p>
    <w:p w14:paraId="7ABDF042">
      <w:pPr>
        <w:spacing w:line="580" w:lineRule="exact"/>
        <w:ind w:firstLine="632" w:firstLineChars="200"/>
        <w:rPr>
          <w:rFonts w:eastAsia="方正仿宋简体"/>
          <w:sz w:val="32"/>
          <w:szCs w:val="32"/>
        </w:rPr>
      </w:pPr>
      <w:r>
        <w:rPr>
          <w:rFonts w:eastAsia="方正仿宋简体"/>
          <w:sz w:val="32"/>
          <w:szCs w:val="32"/>
        </w:rPr>
        <w:t>⑶未按规定报告、通报突发环境事件真实情况的；</w:t>
      </w:r>
    </w:p>
    <w:p w14:paraId="617359D5">
      <w:pPr>
        <w:spacing w:line="580" w:lineRule="exact"/>
        <w:ind w:firstLine="632" w:firstLineChars="200"/>
        <w:rPr>
          <w:rFonts w:eastAsia="方正仿宋简体"/>
          <w:sz w:val="32"/>
          <w:szCs w:val="32"/>
        </w:rPr>
      </w:pPr>
      <w:r>
        <w:rPr>
          <w:rFonts w:eastAsia="方正仿宋简体"/>
          <w:sz w:val="32"/>
          <w:szCs w:val="32"/>
        </w:rPr>
        <w:t>⑷拒不执行突发环境事件应急预案，不服从命令和指挥，或者在事件应急响应时临阵脱逃的；</w:t>
      </w:r>
    </w:p>
    <w:p w14:paraId="3E0E1EFD">
      <w:pPr>
        <w:spacing w:line="580" w:lineRule="exact"/>
        <w:ind w:firstLine="632" w:firstLineChars="200"/>
        <w:rPr>
          <w:rFonts w:eastAsia="方正仿宋简体"/>
          <w:sz w:val="32"/>
          <w:szCs w:val="32"/>
        </w:rPr>
      </w:pPr>
      <w:r>
        <w:rPr>
          <w:rFonts w:eastAsia="方正仿宋简体"/>
          <w:sz w:val="32"/>
          <w:szCs w:val="32"/>
        </w:rPr>
        <w:t>⑸盗窃、贪污、挪用突发环境事件应急工作资金、装备和物资的；</w:t>
      </w:r>
    </w:p>
    <w:p w14:paraId="05A76D2C">
      <w:pPr>
        <w:spacing w:line="580" w:lineRule="exact"/>
        <w:ind w:firstLine="632" w:firstLineChars="200"/>
        <w:rPr>
          <w:rFonts w:eastAsia="方正仿宋简体"/>
          <w:sz w:val="32"/>
          <w:szCs w:val="32"/>
        </w:rPr>
      </w:pPr>
      <w:r>
        <w:rPr>
          <w:rFonts w:eastAsia="方正仿宋简体"/>
          <w:sz w:val="32"/>
          <w:szCs w:val="32"/>
        </w:rPr>
        <w:t>⑹阻碍突发环境事件应急工作人员依法执行公务或者进行破坏活动的；</w:t>
      </w:r>
    </w:p>
    <w:p w14:paraId="7ED5C52B">
      <w:pPr>
        <w:spacing w:line="580" w:lineRule="exact"/>
        <w:ind w:firstLine="632" w:firstLineChars="200"/>
        <w:rPr>
          <w:rFonts w:eastAsia="方正仿宋简体"/>
          <w:sz w:val="32"/>
          <w:szCs w:val="32"/>
        </w:rPr>
      </w:pPr>
      <w:r>
        <w:rPr>
          <w:rFonts w:eastAsia="方正仿宋简体"/>
          <w:sz w:val="32"/>
          <w:szCs w:val="32"/>
        </w:rPr>
        <w:t>⑺散布谣言、扰乱社会秩序的；</w:t>
      </w:r>
    </w:p>
    <w:p w14:paraId="31FA8A63">
      <w:pPr>
        <w:spacing w:line="580" w:lineRule="exact"/>
        <w:ind w:firstLine="632" w:firstLineChars="200"/>
        <w:rPr>
          <w:rFonts w:eastAsia="方正仿宋简体"/>
          <w:sz w:val="32"/>
          <w:szCs w:val="32"/>
        </w:rPr>
      </w:pPr>
      <w:r>
        <w:rPr>
          <w:rFonts w:eastAsia="方正仿宋简体"/>
          <w:sz w:val="32"/>
          <w:szCs w:val="32"/>
        </w:rPr>
        <w:t>⑻对突发环境事件应急工作造成其他危害的。</w:t>
      </w:r>
    </w:p>
    <w:p w14:paraId="72EE420A">
      <w:pPr>
        <w:spacing w:line="580" w:lineRule="exact"/>
        <w:ind w:firstLine="632" w:firstLineChars="200"/>
        <w:rPr>
          <w:rFonts w:eastAsia="方正黑体简体"/>
          <w:sz w:val="32"/>
          <w:szCs w:val="32"/>
        </w:rPr>
      </w:pPr>
      <w:bookmarkStart w:id="98" w:name="_Toc375899863"/>
      <w:bookmarkStart w:id="99" w:name="_Toc393274681"/>
      <w:r>
        <w:rPr>
          <w:rFonts w:eastAsia="方正黑体简体"/>
          <w:sz w:val="32"/>
          <w:szCs w:val="32"/>
        </w:rPr>
        <w:t>8  附则</w:t>
      </w:r>
      <w:bookmarkEnd w:id="98"/>
      <w:bookmarkEnd w:id="99"/>
    </w:p>
    <w:p w14:paraId="1CF4A06F">
      <w:pPr>
        <w:spacing w:line="580" w:lineRule="exact"/>
        <w:ind w:firstLine="632" w:firstLineChars="200"/>
        <w:rPr>
          <w:rFonts w:eastAsia="方正楷体简体"/>
          <w:sz w:val="32"/>
          <w:szCs w:val="32"/>
        </w:rPr>
      </w:pPr>
      <w:bookmarkStart w:id="100" w:name="_Toc393274682"/>
      <w:bookmarkStart w:id="101" w:name="_Toc375899864"/>
      <w:r>
        <w:rPr>
          <w:rFonts w:eastAsia="方正楷体简体"/>
          <w:sz w:val="32"/>
          <w:szCs w:val="32"/>
        </w:rPr>
        <w:t>8.1 本预案用语的含义</w:t>
      </w:r>
      <w:bookmarkEnd w:id="100"/>
      <w:bookmarkEnd w:id="101"/>
    </w:p>
    <w:p w14:paraId="4EACB7A3">
      <w:pPr>
        <w:spacing w:line="580" w:lineRule="exact"/>
        <w:ind w:firstLine="632" w:firstLineChars="200"/>
        <w:rPr>
          <w:rFonts w:eastAsia="方正仿宋简体"/>
          <w:sz w:val="32"/>
          <w:szCs w:val="32"/>
        </w:rPr>
      </w:pPr>
      <w:r>
        <w:rPr>
          <w:rFonts w:eastAsia="方正仿宋简体"/>
          <w:sz w:val="32"/>
          <w:szCs w:val="32"/>
        </w:rPr>
        <w:t>突发环境事件：是指突然发生，造成环境污染，致使饮用水源地受到影响，危及人民群众饮用水安全，影响社会公共秩序，需要采取紧急措施予以应对的事件。</w:t>
      </w:r>
    </w:p>
    <w:p w14:paraId="1B9877A3">
      <w:pPr>
        <w:spacing w:line="580" w:lineRule="exact"/>
        <w:ind w:firstLine="632" w:firstLineChars="200"/>
        <w:rPr>
          <w:rFonts w:eastAsia="方正仿宋简体"/>
          <w:sz w:val="32"/>
          <w:szCs w:val="32"/>
        </w:rPr>
      </w:pPr>
      <w:r>
        <w:rPr>
          <w:rFonts w:eastAsia="方正仿宋简体"/>
          <w:sz w:val="32"/>
          <w:szCs w:val="32"/>
        </w:rPr>
        <w:t>环境应急：是指为避免突发环境事件的发生或减轻突发环境事件的后果，所进行的预防与应急准备、监测与预警、应急处置与救援、事后恢复与重建等应对行动。</w:t>
      </w:r>
    </w:p>
    <w:p w14:paraId="34D9E0F7">
      <w:pPr>
        <w:spacing w:line="580" w:lineRule="exact"/>
        <w:ind w:firstLine="632" w:firstLineChars="200"/>
        <w:rPr>
          <w:rFonts w:eastAsia="方正仿宋简体"/>
          <w:sz w:val="32"/>
          <w:szCs w:val="32"/>
        </w:rPr>
      </w:pPr>
      <w:r>
        <w:rPr>
          <w:rFonts w:eastAsia="方正仿宋简体"/>
          <w:sz w:val="32"/>
          <w:szCs w:val="32"/>
        </w:rPr>
        <w:t>先期处置：是指突发环境事件发生后在事发地第一时间内所采取的紧急措施。</w:t>
      </w:r>
    </w:p>
    <w:p w14:paraId="0A906415">
      <w:pPr>
        <w:spacing w:line="580" w:lineRule="exact"/>
        <w:ind w:firstLine="632" w:firstLineChars="200"/>
        <w:rPr>
          <w:rFonts w:eastAsia="方正仿宋简体"/>
          <w:sz w:val="32"/>
          <w:szCs w:val="32"/>
        </w:rPr>
      </w:pPr>
      <w:r>
        <w:rPr>
          <w:rFonts w:eastAsia="方正仿宋简体"/>
          <w:sz w:val="32"/>
          <w:szCs w:val="32"/>
        </w:rPr>
        <w:t>后期处置：是指突发环境事件的危害和影响得到基本控制后，为使生产、工作、生活、社会秩序和生态环境恢复正常状态在事件后期所采取的一系列行动。</w:t>
      </w:r>
    </w:p>
    <w:p w14:paraId="297417FE">
      <w:pPr>
        <w:spacing w:line="580" w:lineRule="exact"/>
        <w:ind w:firstLine="632" w:firstLineChars="200"/>
        <w:rPr>
          <w:rFonts w:eastAsia="方正仿宋简体"/>
          <w:sz w:val="32"/>
          <w:szCs w:val="32"/>
        </w:rPr>
      </w:pPr>
      <w:r>
        <w:rPr>
          <w:rFonts w:eastAsia="方正仿宋简体"/>
          <w:sz w:val="32"/>
          <w:szCs w:val="32"/>
        </w:rPr>
        <w:t>经济损失：是指包括环境污染行为造成的财产损毁、减少的账面价值，为防止污染扩大以及消除污染而</w:t>
      </w:r>
      <w:r>
        <w:rPr>
          <w:rFonts w:hint="eastAsia" w:eastAsia="方正仿宋简体"/>
          <w:sz w:val="32"/>
          <w:szCs w:val="32"/>
          <w:lang w:eastAsia="zh-CN"/>
        </w:rPr>
        <w:t>采取</w:t>
      </w:r>
      <w:r>
        <w:rPr>
          <w:rFonts w:eastAsia="方正仿宋简体"/>
          <w:sz w:val="32"/>
          <w:szCs w:val="32"/>
        </w:rPr>
        <w:t>的必要的、合理的措施而发生的费用。</w:t>
      </w:r>
    </w:p>
    <w:p w14:paraId="3044C72B">
      <w:pPr>
        <w:spacing w:line="580" w:lineRule="exact"/>
        <w:ind w:firstLine="632" w:firstLineChars="200"/>
        <w:rPr>
          <w:rFonts w:eastAsia="方正仿宋简体"/>
          <w:sz w:val="32"/>
          <w:szCs w:val="32"/>
        </w:rPr>
      </w:pPr>
      <w:r>
        <w:rPr>
          <w:rFonts w:eastAsia="方正仿宋简体"/>
          <w:sz w:val="32"/>
          <w:szCs w:val="32"/>
        </w:rPr>
        <w:t>应急监测：是指环境应急情况下，为保障人民饮水安全采取的水质卫生安全监测和为发现和查明环境污染情况和污染范围而进行的环境监测。包括定点监测和动态监测。</w:t>
      </w:r>
    </w:p>
    <w:p w14:paraId="41A39A34">
      <w:pPr>
        <w:spacing w:line="580" w:lineRule="exact"/>
        <w:ind w:firstLine="632" w:firstLineChars="200"/>
        <w:rPr>
          <w:rFonts w:eastAsia="方正仿宋简体"/>
          <w:sz w:val="32"/>
          <w:szCs w:val="32"/>
        </w:rPr>
      </w:pPr>
      <w:r>
        <w:rPr>
          <w:rFonts w:eastAsia="方正仿宋简体"/>
          <w:sz w:val="32"/>
          <w:szCs w:val="32"/>
        </w:rPr>
        <w:t>应急演练：是指为检验应急预案的有效性、应急准备的完善性、应急响应能力的适应性和应急人员的协同性而进行的一种模拟应急响应的实践活动。根据所涉及的内容和范围的不同，可分为单项演练和综合演练。</w:t>
      </w:r>
    </w:p>
    <w:p w14:paraId="056AEA58">
      <w:pPr>
        <w:spacing w:line="580" w:lineRule="exact"/>
        <w:ind w:firstLine="608" w:firstLineChars="200"/>
        <w:rPr>
          <w:rFonts w:eastAsia="方正仿宋简体"/>
          <w:spacing w:val="-6"/>
          <w:sz w:val="32"/>
          <w:szCs w:val="32"/>
        </w:rPr>
      </w:pPr>
      <w:r>
        <w:rPr>
          <w:rFonts w:eastAsia="方正仿宋简体"/>
          <w:spacing w:val="-6"/>
          <w:sz w:val="32"/>
          <w:szCs w:val="32"/>
        </w:rPr>
        <w:t>本预案中对数量的表达，所称“以上”含本数，“以下”不含本数。</w:t>
      </w:r>
    </w:p>
    <w:p w14:paraId="792EDBDB">
      <w:pPr>
        <w:spacing w:line="580" w:lineRule="exact"/>
        <w:ind w:firstLine="632" w:firstLineChars="200"/>
        <w:rPr>
          <w:rFonts w:eastAsia="方正楷体简体"/>
          <w:sz w:val="32"/>
          <w:szCs w:val="32"/>
        </w:rPr>
      </w:pPr>
      <w:bookmarkStart w:id="102" w:name="_Toc375899865"/>
      <w:bookmarkStart w:id="103" w:name="_Toc393274683"/>
      <w:r>
        <w:rPr>
          <w:rFonts w:eastAsia="方正楷体简体"/>
          <w:sz w:val="32"/>
          <w:szCs w:val="32"/>
        </w:rPr>
        <w:t>8.2 预案实施时间</w:t>
      </w:r>
      <w:bookmarkEnd w:id="102"/>
      <w:bookmarkEnd w:id="103"/>
    </w:p>
    <w:p w14:paraId="7ECE1ACA">
      <w:pPr>
        <w:spacing w:line="580" w:lineRule="exact"/>
        <w:ind w:firstLine="632" w:firstLineChars="200"/>
        <w:rPr>
          <w:rFonts w:eastAsia="方正仿宋简体"/>
          <w:sz w:val="32"/>
          <w:szCs w:val="32"/>
        </w:rPr>
      </w:pPr>
      <w:r>
        <w:rPr>
          <w:rFonts w:eastAsia="方正仿宋简体"/>
          <w:sz w:val="32"/>
          <w:szCs w:val="32"/>
        </w:rPr>
        <w:t>本预案自印发之日起实施。</w:t>
      </w:r>
    </w:p>
    <w:p w14:paraId="2E73AE4C">
      <w:pPr>
        <w:spacing w:line="580" w:lineRule="exact"/>
        <w:ind w:firstLine="632" w:firstLineChars="200"/>
        <w:rPr>
          <w:rFonts w:eastAsia="方正黑体简体"/>
          <w:sz w:val="32"/>
          <w:szCs w:val="32"/>
        </w:rPr>
      </w:pPr>
      <w:bookmarkStart w:id="104" w:name="_Toc393274684"/>
      <w:bookmarkStart w:id="105" w:name="_Toc375899866"/>
      <w:r>
        <w:rPr>
          <w:rFonts w:eastAsia="方正黑体简体"/>
          <w:sz w:val="32"/>
          <w:szCs w:val="32"/>
        </w:rPr>
        <w:t>9 应急预案速报制度</w:t>
      </w:r>
      <w:bookmarkEnd w:id="104"/>
    </w:p>
    <w:p w14:paraId="1FCB5493">
      <w:pPr>
        <w:spacing w:line="580" w:lineRule="exact"/>
        <w:ind w:firstLine="632" w:firstLineChars="200"/>
        <w:rPr>
          <w:rFonts w:eastAsia="方正仿宋简体"/>
          <w:sz w:val="32"/>
          <w:szCs w:val="32"/>
        </w:rPr>
      </w:pPr>
      <w:r>
        <w:rPr>
          <w:rFonts w:eastAsia="方正仿宋简体"/>
          <w:sz w:val="32"/>
          <w:szCs w:val="32"/>
        </w:rPr>
        <w:t>按照《沙县突发环境事件速报制度》执行。</w:t>
      </w:r>
    </w:p>
    <w:p w14:paraId="0B87F7CF">
      <w:pPr>
        <w:spacing w:line="580" w:lineRule="exact"/>
        <w:ind w:firstLine="632" w:firstLineChars="200"/>
        <w:rPr>
          <w:rFonts w:eastAsia="方正黑体简体"/>
          <w:sz w:val="32"/>
          <w:szCs w:val="32"/>
        </w:rPr>
      </w:pPr>
      <w:bookmarkStart w:id="106" w:name="_Toc393274685"/>
      <w:r>
        <w:rPr>
          <w:rFonts w:eastAsia="方正黑体简体"/>
          <w:sz w:val="32"/>
          <w:szCs w:val="32"/>
        </w:rPr>
        <w:t>10附件</w:t>
      </w:r>
      <w:bookmarkEnd w:id="105"/>
      <w:bookmarkEnd w:id="106"/>
    </w:p>
    <w:p w14:paraId="3A02E595">
      <w:pPr>
        <w:spacing w:line="600" w:lineRule="exact"/>
        <w:rPr>
          <w:rFonts w:ascii="宋体" w:hAnsi="宋体"/>
          <w:sz w:val="32"/>
          <w:szCs w:val="32"/>
        </w:rPr>
      </w:pPr>
    </w:p>
    <w:p w14:paraId="503B5BB3">
      <w:pPr>
        <w:spacing w:line="360" w:lineRule="auto"/>
        <w:rPr>
          <w:rFonts w:ascii="宋体" w:hAnsi="宋体"/>
          <w:sz w:val="28"/>
          <w:szCs w:val="28"/>
        </w:rPr>
        <w:sectPr>
          <w:headerReference r:id="rId6" w:type="first"/>
          <w:headerReference r:id="rId5" w:type="default"/>
          <w:footerReference r:id="rId7" w:type="default"/>
          <w:footerReference r:id="rId8" w:type="even"/>
          <w:pgSz w:w="11906" w:h="16838"/>
          <w:pgMar w:top="1701" w:right="1531" w:bottom="1701" w:left="1531" w:header="851" w:footer="1418" w:gutter="0"/>
          <w:pgNumType w:start="1"/>
          <w:cols w:space="425" w:num="1"/>
          <w:docGrid w:type="linesAndChars" w:linePitch="435" w:charSpace="-849"/>
        </w:sectPr>
      </w:pPr>
    </w:p>
    <w:p w14:paraId="7122E08D">
      <w:pPr>
        <w:spacing w:line="600" w:lineRule="exact"/>
        <w:rPr>
          <w:rFonts w:hint="eastAsia" w:eastAsia="方正黑体简体"/>
          <w:sz w:val="32"/>
          <w:szCs w:val="32"/>
        </w:rPr>
      </w:pPr>
      <w:r>
        <w:rPr>
          <w:rFonts w:eastAsia="方正黑体简体"/>
          <w:sz w:val="32"/>
          <w:szCs w:val="32"/>
        </w:rPr>
        <w:t>附件1</w:t>
      </w:r>
    </w:p>
    <w:p w14:paraId="70150A74">
      <w:pPr>
        <w:spacing w:line="600" w:lineRule="exact"/>
        <w:rPr>
          <w:rFonts w:hint="eastAsia" w:eastAsia="方正黑体简体"/>
        </w:rPr>
      </w:pPr>
    </w:p>
    <w:p w14:paraId="3D03D891">
      <w:pPr>
        <w:spacing w:line="600" w:lineRule="exact"/>
        <w:jc w:val="center"/>
        <w:rPr>
          <w:rFonts w:hint="eastAsia" w:ascii="方正小标宋简体" w:eastAsia="方正小标宋简体"/>
          <w:sz w:val="44"/>
          <w:szCs w:val="44"/>
        </w:rPr>
      </w:pPr>
      <w:bookmarkStart w:id="107" w:name="_Toc375899867"/>
      <w:r>
        <w:rPr>
          <w:rFonts w:hint="eastAsia" w:ascii="方正小标宋简体" w:eastAsia="方正小标宋简体"/>
          <w:sz w:val="44"/>
          <w:szCs w:val="44"/>
        </w:rPr>
        <w:t>沙县城区饮用水水源地保护区概况</w:t>
      </w:r>
      <w:bookmarkEnd w:id="107"/>
    </w:p>
    <w:p w14:paraId="717A262F">
      <w:pPr>
        <w:spacing w:line="600" w:lineRule="exact"/>
        <w:ind w:firstLine="420" w:firstLineChars="200"/>
        <w:rPr>
          <w:rFonts w:hint="eastAsia" w:eastAsia="方正仿宋简体"/>
        </w:rPr>
      </w:pPr>
    </w:p>
    <w:p w14:paraId="27C6F4BD">
      <w:pPr>
        <w:spacing w:line="600" w:lineRule="exact"/>
        <w:ind w:firstLine="640" w:firstLineChars="200"/>
        <w:rPr>
          <w:rFonts w:hint="eastAsia" w:ascii="方正黑体简体" w:eastAsia="方正黑体简体"/>
          <w:sz w:val="32"/>
          <w:szCs w:val="32"/>
        </w:rPr>
      </w:pPr>
      <w:r>
        <w:rPr>
          <w:rFonts w:hint="eastAsia" w:ascii="方正黑体简体" w:eastAsia="方正黑体简体"/>
          <w:sz w:val="32"/>
          <w:szCs w:val="32"/>
        </w:rPr>
        <w:t>一、洞天岩水库饮用水水源地基本概况</w:t>
      </w:r>
    </w:p>
    <w:p w14:paraId="0EAC8D1B">
      <w:pPr>
        <w:spacing w:line="600" w:lineRule="exact"/>
        <w:ind w:firstLine="640" w:firstLineChars="200"/>
        <w:rPr>
          <w:rFonts w:eastAsia="方正仿宋简体"/>
          <w:sz w:val="32"/>
          <w:szCs w:val="32"/>
        </w:rPr>
      </w:pPr>
      <w:r>
        <w:rPr>
          <w:rFonts w:eastAsia="方正仿宋简体"/>
          <w:sz w:val="32"/>
          <w:szCs w:val="32"/>
        </w:rPr>
        <w:t>洞天岩水库是沙县城区第一饮用水源地。配套沙县第一水厂，是城区主要的供水水源。洞天岩一厂源水水库有三座，分别是灵元水库、洞天岩一库和洞天岩二库，三座水库依次承串联。灵元水库，位于凤岗街道灵元村，所在河流为沙溪支流灵元溪，大坝为浆砌石拱坝，属小</w:t>
      </w:r>
      <w:r>
        <w:rPr>
          <w:rFonts w:hint="eastAsia" w:eastAsia="方正仿宋简体"/>
          <w:sz w:val="32"/>
          <w:szCs w:val="32"/>
        </w:rPr>
        <w:t>㈡</w:t>
      </w:r>
      <w:r>
        <w:rPr>
          <w:rFonts w:eastAsia="方正仿宋简体"/>
          <w:sz w:val="32"/>
          <w:szCs w:val="32"/>
        </w:rPr>
        <w:t>型水库，1993年12月建成，水库坝址以上集雨面积10平方公里，总库容13万m</w:t>
      </w:r>
      <w:r>
        <w:rPr>
          <w:rFonts w:eastAsia="方正仿宋简体"/>
          <w:sz w:val="32"/>
          <w:szCs w:val="32"/>
          <w:vertAlign w:val="superscript"/>
        </w:rPr>
        <w:t>3</w:t>
      </w:r>
      <w:r>
        <w:rPr>
          <w:rFonts w:eastAsia="方正仿宋简体"/>
          <w:sz w:val="32"/>
          <w:szCs w:val="32"/>
        </w:rPr>
        <w:t>，兴利库容11万m</w:t>
      </w:r>
      <w:r>
        <w:rPr>
          <w:rFonts w:eastAsia="方正仿宋简体"/>
          <w:sz w:val="32"/>
          <w:szCs w:val="32"/>
          <w:vertAlign w:val="superscript"/>
        </w:rPr>
        <w:t>3</w:t>
      </w:r>
      <w:r>
        <w:rPr>
          <w:rFonts w:eastAsia="方正仿宋简体"/>
          <w:sz w:val="32"/>
          <w:szCs w:val="32"/>
        </w:rPr>
        <w:t>，水源经灵元电站发电后通过2公里引洪渠道至洞天岩一库。洞天岩一库位于凤岗街道龙坑村，所在河流为沙溪支流黄岩坑溪，大坝为均匀土坝，属小</w:t>
      </w:r>
      <w:r>
        <w:rPr>
          <w:rFonts w:hint="eastAsia" w:eastAsia="方正仿宋简体"/>
          <w:sz w:val="32"/>
          <w:szCs w:val="32"/>
        </w:rPr>
        <w:t>㈡</w:t>
      </w:r>
      <w:r>
        <w:rPr>
          <w:rFonts w:eastAsia="方正仿宋简体"/>
          <w:sz w:val="32"/>
          <w:szCs w:val="32"/>
        </w:rPr>
        <w:t>型水库，1964年11月建成，坝址以上集雨面积3.43km</w:t>
      </w:r>
      <w:r>
        <w:rPr>
          <w:rFonts w:hint="eastAsia" w:eastAsia="方正仿宋简体"/>
          <w:sz w:val="32"/>
          <w:szCs w:val="32"/>
          <w:vertAlign w:val="superscript"/>
        </w:rPr>
        <w:t>2</w:t>
      </w:r>
      <w:r>
        <w:rPr>
          <w:rFonts w:eastAsia="方正仿宋简体"/>
          <w:sz w:val="32"/>
          <w:szCs w:val="32"/>
        </w:rPr>
        <w:t>，库外引水10km</w:t>
      </w:r>
      <w:r>
        <w:rPr>
          <w:rFonts w:hint="eastAsia" w:eastAsia="方正仿宋简体"/>
          <w:sz w:val="32"/>
          <w:szCs w:val="32"/>
          <w:vertAlign w:val="superscript"/>
        </w:rPr>
        <w:t>2</w:t>
      </w:r>
      <w:r>
        <w:rPr>
          <w:rFonts w:eastAsia="方正仿宋简体"/>
          <w:sz w:val="32"/>
          <w:szCs w:val="32"/>
        </w:rPr>
        <w:t>，总库容258万m</w:t>
      </w:r>
      <w:r>
        <w:rPr>
          <w:rFonts w:eastAsia="方正仿宋简体"/>
          <w:sz w:val="32"/>
          <w:szCs w:val="32"/>
          <w:vertAlign w:val="superscript"/>
        </w:rPr>
        <w:t>3</w:t>
      </w:r>
      <w:r>
        <w:rPr>
          <w:rFonts w:eastAsia="方正仿宋简体"/>
          <w:sz w:val="32"/>
          <w:szCs w:val="32"/>
        </w:rPr>
        <w:t>，兴利库容196万m</w:t>
      </w:r>
      <w:r>
        <w:rPr>
          <w:rFonts w:eastAsia="方正仿宋简体"/>
          <w:sz w:val="32"/>
          <w:szCs w:val="32"/>
          <w:vertAlign w:val="superscript"/>
        </w:rPr>
        <w:t>3</w:t>
      </w:r>
      <w:r>
        <w:rPr>
          <w:rFonts w:eastAsia="方正仿宋简体"/>
          <w:sz w:val="32"/>
          <w:szCs w:val="32"/>
        </w:rPr>
        <w:t>，水源经洞天岩一级电站发电后至洞天岩二库。洞天岩二库位于沙县凤岗街道大洲村，所在河流沙溪支流黄岩坑溪，大坝为浆砌石拱坝，属小</w:t>
      </w:r>
      <w:r>
        <w:rPr>
          <w:rFonts w:hint="eastAsia" w:eastAsia="方正仿宋简体"/>
          <w:sz w:val="32"/>
          <w:szCs w:val="32"/>
        </w:rPr>
        <w:t>㈠</w:t>
      </w:r>
      <w:r>
        <w:rPr>
          <w:rFonts w:eastAsia="方正仿宋简体"/>
          <w:sz w:val="32"/>
          <w:szCs w:val="32"/>
        </w:rPr>
        <w:t>型水库于</w:t>
      </w:r>
      <w:r>
        <w:rPr>
          <w:rFonts w:hint="eastAsia" w:eastAsia="方正仿宋简体"/>
          <w:sz w:val="32"/>
          <w:szCs w:val="32"/>
        </w:rPr>
        <w:t>19</w:t>
      </w:r>
      <w:r>
        <w:rPr>
          <w:rFonts w:eastAsia="方正仿宋简体"/>
          <w:sz w:val="32"/>
          <w:szCs w:val="32"/>
        </w:rPr>
        <w:t>89年9月建成，坝址以上集雨面积4.2km</w:t>
      </w:r>
      <w:r>
        <w:rPr>
          <w:rFonts w:hint="eastAsia" w:eastAsia="方正仿宋简体"/>
          <w:sz w:val="32"/>
          <w:szCs w:val="32"/>
          <w:vertAlign w:val="superscript"/>
        </w:rPr>
        <w:t>2</w:t>
      </w:r>
      <w:r>
        <w:rPr>
          <w:rFonts w:eastAsia="方正仿宋简体"/>
          <w:sz w:val="32"/>
          <w:szCs w:val="32"/>
        </w:rPr>
        <w:t>，库外引水10km</w:t>
      </w:r>
      <w:r>
        <w:rPr>
          <w:rFonts w:eastAsia="方正仿宋简体"/>
          <w:sz w:val="32"/>
          <w:szCs w:val="32"/>
          <w:vertAlign w:val="superscript"/>
        </w:rPr>
        <w:t>2</w:t>
      </w:r>
      <w:r>
        <w:rPr>
          <w:rFonts w:eastAsia="方正仿宋简体"/>
          <w:sz w:val="32"/>
          <w:szCs w:val="32"/>
        </w:rPr>
        <w:t>，总库容198万m</w:t>
      </w:r>
      <w:r>
        <w:rPr>
          <w:rFonts w:eastAsia="方正仿宋简体"/>
          <w:sz w:val="32"/>
          <w:szCs w:val="32"/>
          <w:vertAlign w:val="superscript"/>
        </w:rPr>
        <w:t>3</w:t>
      </w:r>
      <w:r>
        <w:rPr>
          <w:rFonts w:eastAsia="方正仿宋简体"/>
          <w:sz w:val="32"/>
          <w:szCs w:val="32"/>
        </w:rPr>
        <w:t>，兴利库容182.2万m</w:t>
      </w:r>
      <w:r>
        <w:rPr>
          <w:rFonts w:eastAsia="方正仿宋简体"/>
          <w:sz w:val="32"/>
          <w:szCs w:val="32"/>
          <w:vertAlign w:val="superscript"/>
        </w:rPr>
        <w:t>3</w:t>
      </w:r>
      <w:r>
        <w:rPr>
          <w:rFonts w:eastAsia="方正仿宋简体"/>
          <w:sz w:val="32"/>
          <w:szCs w:val="32"/>
        </w:rPr>
        <w:t>，源水由洞天岩二级电站发电后经1公里渠道至洞天岩一水厂净化向城区供水。饮用水源保护区范围内有灵元村、际岩村和龙坑村人口分别为650人、510人和440人，合计1600人左右。</w:t>
      </w:r>
    </w:p>
    <w:p w14:paraId="453E3A00">
      <w:pPr>
        <w:spacing w:line="600" w:lineRule="exact"/>
        <w:ind w:firstLine="640" w:firstLineChars="200"/>
        <w:rPr>
          <w:rFonts w:eastAsia="方正仿宋简体"/>
          <w:sz w:val="32"/>
          <w:szCs w:val="32"/>
        </w:rPr>
      </w:pPr>
      <w:r>
        <w:rPr>
          <w:rFonts w:eastAsia="方正仿宋简体"/>
          <w:sz w:val="32"/>
          <w:szCs w:val="32"/>
        </w:rPr>
        <w:t>现有的主要环境应急设施和措施：在通往灵元村的道路实施禁止危险化学品运输车通行的交通管制措施；在灵元村、际岩村各设置一块大型水源保护宣传牌，在灵元村、际岩村、灵元水库、洞天岩一库、二库分别设置水资源保护宣传和警示牌，在保护区内各行政村醒目位置刷写水资源保护标语，宣传水源保护的有关规定；在危险路段建设钢筋砼防撞</w:t>
      </w:r>
      <w:r>
        <w:rPr>
          <w:rFonts w:hint="eastAsia" w:eastAsia="方正仿宋简体"/>
          <w:sz w:val="32"/>
          <w:szCs w:val="32"/>
          <w:lang w:eastAsia="zh-CN"/>
        </w:rPr>
        <w:t>护栏</w:t>
      </w:r>
      <w:r>
        <w:rPr>
          <w:rFonts w:eastAsia="方正仿宋简体"/>
          <w:sz w:val="32"/>
          <w:szCs w:val="32"/>
        </w:rPr>
        <w:t>40</w:t>
      </w:r>
      <w:r>
        <w:rPr>
          <w:rFonts w:hint="eastAsia" w:eastAsia="方正仿宋简体"/>
          <w:sz w:val="32"/>
          <w:szCs w:val="32"/>
        </w:rPr>
        <w:t>m</w:t>
      </w:r>
      <w:r>
        <w:rPr>
          <w:rFonts w:eastAsia="方正仿宋简体"/>
          <w:sz w:val="32"/>
          <w:szCs w:val="32"/>
        </w:rPr>
        <w:t>，在长陡坡、弯急路段增设警示标志牌，有效预防化学品运输车辆发生交通事故污染水源；建成洞天岩一库水质在线监测系统，实时掌握水源水质变化情况；建成灵元村生活污水人工湿地生态处理系统，健全保护区内垃圾清运与保洁系统，并在二级保护区的际岩、龙坑2个村开展农村环境连片整治示范项目，最大限度减少保护区内的生活污染。</w:t>
      </w:r>
    </w:p>
    <w:p w14:paraId="045E69DF">
      <w:pPr>
        <w:spacing w:line="600" w:lineRule="exact"/>
        <w:ind w:firstLine="640" w:firstLineChars="200"/>
        <w:rPr>
          <w:rFonts w:hint="eastAsia" w:ascii="方正黑体简体" w:eastAsia="方正黑体简体"/>
          <w:sz w:val="32"/>
          <w:szCs w:val="32"/>
        </w:rPr>
      </w:pPr>
      <w:r>
        <w:rPr>
          <w:rFonts w:hint="eastAsia" w:ascii="方正黑体简体" w:eastAsia="方正黑体简体"/>
          <w:sz w:val="32"/>
          <w:szCs w:val="32"/>
        </w:rPr>
        <w:t>二、下村洋水库饮用水水源地基本概况</w:t>
      </w:r>
    </w:p>
    <w:p w14:paraId="70564003">
      <w:pPr>
        <w:spacing w:line="600" w:lineRule="exact"/>
        <w:ind w:firstLine="640" w:firstLineChars="200"/>
        <w:rPr>
          <w:rFonts w:eastAsia="方正仿宋简体"/>
          <w:sz w:val="32"/>
          <w:szCs w:val="32"/>
        </w:rPr>
      </w:pPr>
      <w:r>
        <w:rPr>
          <w:rFonts w:eastAsia="方正仿宋简体"/>
          <w:sz w:val="32"/>
          <w:szCs w:val="32"/>
        </w:rPr>
        <w:t>下村洋水库位于虬江街道墩头村，所在流域为沙溪支流墩头溪，大坝为浆砌石拱坝属小</w:t>
      </w:r>
      <w:r>
        <w:rPr>
          <w:rFonts w:hint="eastAsia" w:eastAsia="方正仿宋简体"/>
          <w:sz w:val="32"/>
          <w:szCs w:val="32"/>
        </w:rPr>
        <w:t>㈡</w:t>
      </w:r>
      <w:r>
        <w:rPr>
          <w:rFonts w:eastAsia="方正仿宋简体"/>
          <w:sz w:val="32"/>
          <w:szCs w:val="32"/>
        </w:rPr>
        <w:t>型水库，1996年建成，坝址以上集雨面积16.5km</w:t>
      </w:r>
      <w:r>
        <w:rPr>
          <w:rFonts w:eastAsia="方正仿宋简体"/>
          <w:sz w:val="32"/>
          <w:szCs w:val="32"/>
          <w:vertAlign w:val="superscript"/>
        </w:rPr>
        <w:t>2</w:t>
      </w:r>
      <w:r>
        <w:rPr>
          <w:rFonts w:eastAsia="方正仿宋简体"/>
          <w:sz w:val="32"/>
          <w:szCs w:val="32"/>
        </w:rPr>
        <w:t>，源水由2km水泥管道至城南二水厂净化后向城区供水。饮用水源保护区范围内有墩头村，人口有1200人。</w:t>
      </w:r>
    </w:p>
    <w:p w14:paraId="5EE7628E">
      <w:pPr>
        <w:spacing w:line="600" w:lineRule="exact"/>
        <w:ind w:firstLine="640" w:firstLineChars="200"/>
        <w:rPr>
          <w:rFonts w:eastAsia="方正仿宋简体"/>
          <w:sz w:val="32"/>
          <w:szCs w:val="32"/>
        </w:rPr>
      </w:pPr>
      <w:r>
        <w:rPr>
          <w:rFonts w:eastAsia="方正仿宋简体"/>
          <w:sz w:val="32"/>
          <w:szCs w:val="32"/>
        </w:rPr>
        <w:t>现有的主要环境应急设施和措施：在通往墩头村的道路实施禁止危险化学品运输车通行的交通管制措施；在墩头村设置一块大型水源保护宣传牌，在墩头村、下村洋水库分别设置水资源保护宣传和警示牌，在保护区内墩头村醒目位置刷写水资源保护标语，宣传水源保护的有关规定；在长陡坡、弯急路段增设警示标志牌，有效预防化学品运输车辆发生交通事故污染水源；健全保护区内垃圾清运与保洁系统最大限度减少保护区内的生活污染。</w:t>
      </w:r>
    </w:p>
    <w:p w14:paraId="22521D70">
      <w:pPr>
        <w:spacing w:line="600" w:lineRule="exact"/>
        <w:ind w:firstLine="640" w:firstLineChars="200"/>
        <w:rPr>
          <w:rFonts w:hint="eastAsia" w:ascii="方正黑体简体" w:eastAsia="方正黑体简体"/>
          <w:sz w:val="32"/>
          <w:szCs w:val="32"/>
        </w:rPr>
      </w:pPr>
      <w:r>
        <w:rPr>
          <w:rFonts w:hint="eastAsia" w:ascii="方正黑体简体" w:eastAsia="方正黑体简体"/>
          <w:sz w:val="32"/>
          <w:szCs w:val="32"/>
        </w:rPr>
        <w:t>三、马岩水库饮用水水源地基本概况</w:t>
      </w:r>
    </w:p>
    <w:p w14:paraId="2241908D">
      <w:pPr>
        <w:spacing w:line="600" w:lineRule="exact"/>
        <w:ind w:firstLine="640" w:firstLineChars="200"/>
        <w:rPr>
          <w:rFonts w:eastAsia="方正仿宋简体"/>
          <w:sz w:val="32"/>
          <w:szCs w:val="32"/>
        </w:rPr>
      </w:pPr>
      <w:r>
        <w:rPr>
          <w:rFonts w:eastAsia="方正仿宋简体"/>
          <w:sz w:val="32"/>
          <w:szCs w:val="32"/>
        </w:rPr>
        <w:t>马岩水库位于沙县凤岗街道西郊村，所在河流沙溪流域东溪支流畔溪，大坝为浆砌石拱坝，属小</w:t>
      </w:r>
      <w:r>
        <w:rPr>
          <w:rFonts w:hint="eastAsia" w:eastAsia="方正仿宋简体"/>
          <w:sz w:val="32"/>
          <w:szCs w:val="32"/>
        </w:rPr>
        <w:t>㈡</w:t>
      </w:r>
      <w:r>
        <w:rPr>
          <w:rFonts w:eastAsia="方正仿宋简体"/>
          <w:sz w:val="32"/>
          <w:szCs w:val="32"/>
        </w:rPr>
        <w:t>型水库，2005年建成，坝址以上集雨面积22.7km</w:t>
      </w:r>
      <w:r>
        <w:rPr>
          <w:rFonts w:eastAsia="方正仿宋简体"/>
          <w:sz w:val="32"/>
          <w:szCs w:val="32"/>
          <w:vertAlign w:val="superscript"/>
        </w:rPr>
        <w:t>2</w:t>
      </w:r>
      <w:r>
        <w:rPr>
          <w:rFonts w:eastAsia="方正仿宋简体"/>
          <w:sz w:val="32"/>
          <w:szCs w:val="32"/>
        </w:rPr>
        <w:t>，水库总库容55.12万m</w:t>
      </w:r>
      <w:r>
        <w:rPr>
          <w:rFonts w:eastAsia="方正仿宋简体"/>
          <w:sz w:val="32"/>
          <w:szCs w:val="32"/>
          <w:vertAlign w:val="superscript"/>
        </w:rPr>
        <w:t>3</w:t>
      </w:r>
      <w:r>
        <w:rPr>
          <w:rFonts w:eastAsia="方正仿宋简体"/>
          <w:sz w:val="32"/>
          <w:szCs w:val="32"/>
        </w:rPr>
        <w:t>，兴利库容33.39万m</w:t>
      </w:r>
      <w:r>
        <w:rPr>
          <w:rFonts w:eastAsia="方正仿宋简体"/>
          <w:sz w:val="32"/>
          <w:szCs w:val="32"/>
          <w:vertAlign w:val="superscript"/>
        </w:rPr>
        <w:t>3</w:t>
      </w:r>
      <w:r>
        <w:rPr>
          <w:rFonts w:eastAsia="方正仿宋简体"/>
          <w:sz w:val="32"/>
          <w:szCs w:val="32"/>
        </w:rPr>
        <w:t>，源水由隧洞至西郊第三水厂净化后向城区供水。饮用水源保护区范围内有岩地村，人口有480人。</w:t>
      </w:r>
    </w:p>
    <w:p w14:paraId="0C12F378">
      <w:pPr>
        <w:spacing w:line="600" w:lineRule="exact"/>
        <w:ind w:firstLine="640" w:firstLineChars="200"/>
        <w:rPr>
          <w:rFonts w:eastAsia="方正仿宋简体"/>
          <w:sz w:val="32"/>
          <w:szCs w:val="32"/>
        </w:rPr>
      </w:pPr>
      <w:r>
        <w:rPr>
          <w:rFonts w:eastAsia="方正仿宋简体"/>
          <w:sz w:val="32"/>
          <w:szCs w:val="32"/>
        </w:rPr>
        <w:t>现有的主要环境应急设施和措施：在通往岩地村的道路实施禁止危险化学品运输车通行的交通管制措施；在西郊村、岩地村各设置一块大型水源保护宣传牌，在岩地村、马岩水库分别设置水资源保护宣传和警示牌，在保护区内岩地村醒目位置刷写水资源保护标语，宣传水源保护的有关规定；在长陡坡、弯急路段增设警示标志牌，有效预防化学品运输车辆发生交通事故污染水源；健全保护区内垃圾清运与保洁系统最大限度减少保护区内的生活污染。</w:t>
      </w:r>
    </w:p>
    <w:p w14:paraId="4E0DC6DB">
      <w:pPr>
        <w:spacing w:line="600" w:lineRule="exact"/>
        <w:ind w:firstLine="640" w:firstLineChars="200"/>
        <w:rPr>
          <w:rFonts w:hint="eastAsia" w:ascii="方正黑体简体" w:eastAsia="方正黑体简体"/>
          <w:sz w:val="32"/>
          <w:szCs w:val="32"/>
        </w:rPr>
      </w:pPr>
      <w:r>
        <w:rPr>
          <w:rFonts w:hint="eastAsia" w:ascii="方正黑体简体" w:eastAsia="方正黑体简体"/>
          <w:sz w:val="32"/>
          <w:szCs w:val="32"/>
        </w:rPr>
        <w:t>四、双溪水库饮用水水源地基本概况（在建）</w:t>
      </w:r>
    </w:p>
    <w:p w14:paraId="1F9D5E2D">
      <w:pPr>
        <w:spacing w:line="600" w:lineRule="exact"/>
        <w:ind w:firstLine="640" w:firstLineChars="200"/>
        <w:rPr>
          <w:rFonts w:eastAsia="方正仿宋简体"/>
          <w:sz w:val="32"/>
          <w:szCs w:val="32"/>
        </w:rPr>
      </w:pPr>
      <w:r>
        <w:rPr>
          <w:rFonts w:eastAsia="方正仿宋简体"/>
          <w:sz w:val="32"/>
          <w:szCs w:val="32"/>
        </w:rPr>
        <w:t>在建的双溪水库位于沙县南霞乡境内洛溪支流南霞溪河段上，坝址位于南霞溪干流，处于南霞溪与溪源溪汇合口上游1km处，坝址以上集雨面积98.5</w:t>
      </w:r>
      <w:r>
        <w:rPr>
          <w:rFonts w:hint="eastAsia" w:eastAsia="方正仿宋简体"/>
          <w:sz w:val="32"/>
          <w:szCs w:val="32"/>
        </w:rPr>
        <w:t>k</w:t>
      </w:r>
      <w:r>
        <w:rPr>
          <w:rFonts w:eastAsia="方正仿宋简体"/>
          <w:sz w:val="32"/>
          <w:szCs w:val="32"/>
        </w:rPr>
        <w:t>m</w:t>
      </w:r>
      <w:r>
        <w:rPr>
          <w:rFonts w:eastAsia="方正仿宋简体"/>
          <w:sz w:val="32"/>
          <w:szCs w:val="32"/>
          <w:vertAlign w:val="superscript"/>
        </w:rPr>
        <w:t>2</w:t>
      </w:r>
      <w:r>
        <w:rPr>
          <w:rFonts w:eastAsia="方正仿宋简体"/>
          <w:sz w:val="32"/>
          <w:szCs w:val="32"/>
        </w:rPr>
        <w:t>, 水库总库容2768万m</w:t>
      </w:r>
      <w:r>
        <w:rPr>
          <w:rFonts w:eastAsia="方正仿宋简体"/>
          <w:sz w:val="32"/>
          <w:szCs w:val="32"/>
          <w:vertAlign w:val="superscript"/>
        </w:rPr>
        <w:t>3</w:t>
      </w:r>
      <w:r>
        <w:rPr>
          <w:rFonts w:eastAsia="方正仿宋简体"/>
          <w:sz w:val="32"/>
          <w:szCs w:val="32"/>
        </w:rPr>
        <w:t>，正常蓄水位320m，调节库容2424万m</w:t>
      </w:r>
      <w:r>
        <w:rPr>
          <w:rFonts w:eastAsia="方正仿宋简体"/>
          <w:sz w:val="32"/>
          <w:szCs w:val="32"/>
          <w:vertAlign w:val="superscript"/>
        </w:rPr>
        <w:t>3</w:t>
      </w:r>
      <w:r>
        <w:rPr>
          <w:rFonts w:eastAsia="方正仿宋简体"/>
          <w:sz w:val="32"/>
          <w:szCs w:val="32"/>
        </w:rPr>
        <w:t>，库容系数28.6%。拦河坝坝型为</w:t>
      </w:r>
      <w:r>
        <w:rPr>
          <w:rFonts w:hint="eastAsia" w:eastAsia="方正仿宋简体"/>
          <w:sz w:val="32"/>
          <w:szCs w:val="32"/>
        </w:rPr>
        <w:t>细骨料</w:t>
      </w:r>
      <w:r>
        <w:rPr>
          <w:rFonts w:eastAsia="方正仿宋简体"/>
          <w:sz w:val="32"/>
          <w:szCs w:val="32"/>
        </w:rPr>
        <w:t>混凝土</w:t>
      </w:r>
      <w:r>
        <w:rPr>
          <w:rFonts w:hint="eastAsia" w:eastAsia="方正仿宋简体"/>
          <w:sz w:val="32"/>
          <w:szCs w:val="32"/>
        </w:rPr>
        <w:t>砌石</w:t>
      </w:r>
      <w:r>
        <w:rPr>
          <w:rFonts w:eastAsia="方正仿宋简体"/>
          <w:sz w:val="32"/>
          <w:szCs w:val="32"/>
        </w:rPr>
        <w:t>重力坝，坝顶长225.1m，最大坝高67m，坝顶宽度5m。原水通过引水隧洞至位于琅口村的水厂（在建）净化后向沙县城南片开发区及工业园区，余水经由跨沙溪供水管道补充城北片用水，同时通过与城北片供水管网并网，实现水量调济互补，提高沙县城区供水整体支撑和保障能力。饮用水源保护区范围包括南霞乡所有村庄，人口有10908人。</w:t>
      </w:r>
    </w:p>
    <w:p w14:paraId="26735C51">
      <w:pPr>
        <w:spacing w:line="600" w:lineRule="exact"/>
        <w:ind w:firstLine="640" w:firstLineChars="200"/>
        <w:rPr>
          <w:rFonts w:hint="eastAsia" w:eastAsia="方正仿宋简体"/>
          <w:sz w:val="32"/>
          <w:szCs w:val="32"/>
        </w:rPr>
      </w:pPr>
      <w:r>
        <w:rPr>
          <w:rFonts w:eastAsia="方正仿宋简体"/>
          <w:sz w:val="32"/>
          <w:szCs w:val="32"/>
        </w:rPr>
        <w:t>环境应急设施将与主体工程同步建设。</w:t>
      </w:r>
    </w:p>
    <w:p w14:paraId="7420DF63">
      <w:pPr>
        <w:spacing w:line="560" w:lineRule="exact"/>
        <w:ind w:firstLine="420" w:firstLineChars="200"/>
        <w:rPr>
          <w:rFonts w:hint="eastAsia" w:eastAsia="方正仿宋简体"/>
        </w:rPr>
      </w:pPr>
    </w:p>
    <w:p w14:paraId="04A5FF72">
      <w:pPr>
        <w:spacing w:line="560" w:lineRule="exact"/>
        <w:ind w:firstLine="420" w:firstLineChars="200"/>
        <w:rPr>
          <w:rFonts w:hint="eastAsia" w:eastAsia="方正仿宋简体"/>
        </w:rPr>
      </w:pPr>
    </w:p>
    <w:p w14:paraId="0145D0A1">
      <w:pPr>
        <w:spacing w:line="560" w:lineRule="exact"/>
        <w:ind w:firstLine="420" w:firstLineChars="200"/>
        <w:rPr>
          <w:rFonts w:hint="eastAsia" w:eastAsia="方正仿宋简体"/>
        </w:rPr>
      </w:pPr>
    </w:p>
    <w:p w14:paraId="3EEF254E">
      <w:pPr>
        <w:spacing w:line="560" w:lineRule="exact"/>
        <w:ind w:firstLine="420" w:firstLineChars="200"/>
        <w:rPr>
          <w:rFonts w:hint="eastAsia" w:eastAsia="方正仿宋简体"/>
        </w:rPr>
      </w:pPr>
    </w:p>
    <w:p w14:paraId="07977721">
      <w:pPr>
        <w:spacing w:line="560" w:lineRule="exact"/>
        <w:ind w:firstLine="420" w:firstLineChars="200"/>
        <w:rPr>
          <w:rFonts w:hint="eastAsia" w:eastAsia="方正仿宋简体"/>
        </w:rPr>
      </w:pPr>
    </w:p>
    <w:p w14:paraId="3E6DDE71">
      <w:pPr>
        <w:spacing w:line="560" w:lineRule="exact"/>
        <w:ind w:firstLine="420" w:firstLineChars="200"/>
        <w:rPr>
          <w:rFonts w:hint="eastAsia" w:eastAsia="方正仿宋简体"/>
        </w:rPr>
      </w:pPr>
    </w:p>
    <w:p w14:paraId="32E7334C">
      <w:pPr>
        <w:spacing w:line="560" w:lineRule="exact"/>
        <w:ind w:firstLine="420" w:firstLineChars="200"/>
        <w:rPr>
          <w:rFonts w:hint="eastAsia" w:eastAsia="方正仿宋简体"/>
        </w:rPr>
      </w:pPr>
    </w:p>
    <w:p w14:paraId="1D09D9EE">
      <w:pPr>
        <w:spacing w:line="560" w:lineRule="exact"/>
        <w:ind w:firstLine="420" w:firstLineChars="200"/>
        <w:rPr>
          <w:rFonts w:hint="eastAsia" w:eastAsia="方正仿宋简体"/>
        </w:rPr>
      </w:pPr>
    </w:p>
    <w:p w14:paraId="7EB0D248">
      <w:pPr>
        <w:spacing w:line="560" w:lineRule="exact"/>
        <w:ind w:firstLine="420" w:firstLineChars="200"/>
        <w:rPr>
          <w:rFonts w:hint="eastAsia" w:eastAsia="方正仿宋简体"/>
        </w:rPr>
      </w:pPr>
    </w:p>
    <w:p w14:paraId="4AB53483">
      <w:pPr>
        <w:spacing w:line="560" w:lineRule="exact"/>
        <w:ind w:firstLine="420" w:firstLineChars="200"/>
        <w:rPr>
          <w:rFonts w:hint="eastAsia" w:eastAsia="方正仿宋简体"/>
        </w:rPr>
      </w:pPr>
    </w:p>
    <w:p w14:paraId="39DDCBFE">
      <w:pPr>
        <w:spacing w:line="560" w:lineRule="exact"/>
        <w:ind w:firstLine="420" w:firstLineChars="200"/>
        <w:rPr>
          <w:rFonts w:hint="eastAsia" w:eastAsia="方正仿宋简体"/>
        </w:rPr>
      </w:pPr>
    </w:p>
    <w:p w14:paraId="3E301EFE">
      <w:pPr>
        <w:spacing w:line="560" w:lineRule="exact"/>
        <w:ind w:firstLine="420" w:firstLineChars="200"/>
        <w:rPr>
          <w:rFonts w:hint="eastAsia" w:eastAsia="方正仿宋简体"/>
        </w:rPr>
      </w:pPr>
    </w:p>
    <w:p w14:paraId="4A800F3F">
      <w:pPr>
        <w:spacing w:line="560" w:lineRule="exact"/>
        <w:ind w:firstLine="420" w:firstLineChars="200"/>
        <w:rPr>
          <w:rFonts w:hint="eastAsia" w:eastAsia="方正仿宋简体"/>
        </w:rPr>
      </w:pPr>
    </w:p>
    <w:p w14:paraId="1DA73DC9">
      <w:pPr>
        <w:spacing w:line="560" w:lineRule="exact"/>
        <w:ind w:firstLine="420" w:firstLineChars="200"/>
        <w:rPr>
          <w:rFonts w:hint="eastAsia" w:eastAsia="方正仿宋简体"/>
        </w:rPr>
      </w:pPr>
    </w:p>
    <w:p w14:paraId="035C0F6D">
      <w:pPr>
        <w:spacing w:line="560" w:lineRule="exact"/>
        <w:ind w:firstLine="420" w:firstLineChars="200"/>
        <w:rPr>
          <w:rFonts w:hint="eastAsia" w:eastAsia="方正仿宋简体"/>
        </w:rPr>
      </w:pPr>
    </w:p>
    <w:p w14:paraId="4A6ADC8F">
      <w:pPr>
        <w:spacing w:line="560" w:lineRule="exact"/>
        <w:ind w:firstLine="420" w:firstLineChars="200"/>
        <w:rPr>
          <w:rFonts w:hint="eastAsia" w:eastAsia="方正仿宋简体"/>
        </w:rPr>
      </w:pPr>
    </w:p>
    <w:p w14:paraId="7EB02E73">
      <w:pPr>
        <w:spacing w:line="560" w:lineRule="exact"/>
        <w:rPr>
          <w:rFonts w:hint="eastAsia" w:eastAsia="方正黑体简体"/>
          <w:sz w:val="32"/>
          <w:szCs w:val="32"/>
        </w:rPr>
      </w:pPr>
      <w:r>
        <w:rPr>
          <w:rFonts w:eastAsia="方正黑体简体"/>
          <w:sz w:val="32"/>
          <w:szCs w:val="32"/>
        </w:rPr>
        <w:t>附件2</w:t>
      </w:r>
    </w:p>
    <w:p w14:paraId="100DF739">
      <w:pPr>
        <w:spacing w:line="460" w:lineRule="exact"/>
        <w:rPr>
          <w:rFonts w:hint="eastAsia" w:eastAsia="方正黑体简体"/>
        </w:rPr>
      </w:pPr>
    </w:p>
    <w:p w14:paraId="197B3DBA">
      <w:pPr>
        <w:spacing w:line="560" w:lineRule="exact"/>
        <w:jc w:val="center"/>
        <w:rPr>
          <w:rFonts w:hint="eastAsia" w:ascii="方正小标宋简体" w:hAnsi="宋体" w:eastAsia="方正小标宋简体" w:cs="宋体"/>
          <w:color w:val="000000"/>
          <w:sz w:val="44"/>
          <w:szCs w:val="44"/>
          <w:lang w:val="zh-CN"/>
        </w:rPr>
      </w:pPr>
      <w:r>
        <w:rPr>
          <w:rFonts w:hint="eastAsia" w:ascii="方正小标宋简体" w:hAnsi="宋体" w:eastAsia="方正小标宋简体" w:cs="宋体"/>
          <w:bCs/>
          <w:color w:val="000000"/>
          <w:sz w:val="44"/>
          <w:szCs w:val="44"/>
          <w:lang w:val="zh-CN"/>
        </w:rPr>
        <w:t>突发</w:t>
      </w:r>
      <w:r>
        <w:rPr>
          <w:rFonts w:hint="eastAsia" w:ascii="方正小标宋简体" w:hAnsi="宋体" w:eastAsia="方正小标宋简体" w:cs="宋体"/>
          <w:color w:val="000000"/>
          <w:sz w:val="44"/>
          <w:szCs w:val="44"/>
          <w:lang w:val="zh-CN"/>
        </w:rPr>
        <w:t>环境事件应急指挥机构组成部门</w:t>
      </w:r>
    </w:p>
    <w:p w14:paraId="11AD2FD4">
      <w:pPr>
        <w:spacing w:afterLines="50" w:line="560" w:lineRule="exact"/>
        <w:jc w:val="center"/>
        <w:rPr>
          <w:rFonts w:hint="eastAsia" w:ascii="方正小标宋简体" w:hAnsi="宋体" w:eastAsia="方正小标宋简体"/>
          <w:sz w:val="44"/>
          <w:szCs w:val="44"/>
        </w:rPr>
      </w:pPr>
      <w:r>
        <w:rPr>
          <w:rFonts w:hint="eastAsia" w:ascii="方正小标宋简体" w:hAnsi="宋体" w:eastAsia="方正小标宋简体" w:cs="宋体"/>
          <w:color w:val="000000"/>
          <w:sz w:val="44"/>
          <w:szCs w:val="44"/>
          <w:lang w:val="zh-CN"/>
        </w:rPr>
        <w:t>联系方式</w:t>
      </w:r>
    </w:p>
    <w:tbl>
      <w:tblPr>
        <w:tblStyle w:val="7"/>
        <w:tblW w:w="8819" w:type="dxa"/>
        <w:jc w:val="center"/>
        <w:tblLayout w:type="autofit"/>
        <w:tblCellMar>
          <w:top w:w="0" w:type="dxa"/>
          <w:left w:w="108" w:type="dxa"/>
          <w:bottom w:w="0" w:type="dxa"/>
          <w:right w:w="108" w:type="dxa"/>
        </w:tblCellMar>
      </w:tblPr>
      <w:tblGrid>
        <w:gridCol w:w="864"/>
        <w:gridCol w:w="3162"/>
        <w:gridCol w:w="1298"/>
        <w:gridCol w:w="1674"/>
        <w:gridCol w:w="1821"/>
      </w:tblGrid>
      <w:tr w14:paraId="234005B2">
        <w:tblPrEx>
          <w:tblCellMar>
            <w:top w:w="0" w:type="dxa"/>
            <w:left w:w="108" w:type="dxa"/>
            <w:bottom w:w="0" w:type="dxa"/>
            <w:right w:w="108" w:type="dxa"/>
          </w:tblCellMar>
        </w:tblPrEx>
        <w:trPr>
          <w:trHeight w:val="64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2E2BFB0">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序号</w:t>
            </w:r>
          </w:p>
        </w:tc>
        <w:tc>
          <w:tcPr>
            <w:tcW w:w="3162" w:type="dxa"/>
            <w:tcBorders>
              <w:top w:val="single" w:color="auto" w:sz="4" w:space="0"/>
              <w:left w:val="nil"/>
              <w:bottom w:val="single" w:color="auto" w:sz="4" w:space="0"/>
              <w:right w:val="single" w:color="auto" w:sz="4" w:space="0"/>
            </w:tcBorders>
            <w:vAlign w:val="center"/>
          </w:tcPr>
          <w:p w14:paraId="67F1F76A">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单位名称</w:t>
            </w:r>
          </w:p>
        </w:tc>
        <w:tc>
          <w:tcPr>
            <w:tcW w:w="1298" w:type="dxa"/>
            <w:tcBorders>
              <w:top w:val="single" w:color="auto" w:sz="4" w:space="0"/>
              <w:left w:val="nil"/>
              <w:bottom w:val="single" w:color="auto" w:sz="4" w:space="0"/>
              <w:right w:val="single" w:color="auto" w:sz="4" w:space="0"/>
            </w:tcBorders>
            <w:vAlign w:val="center"/>
          </w:tcPr>
          <w:p w14:paraId="739278FB">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姓名</w:t>
            </w:r>
          </w:p>
        </w:tc>
        <w:tc>
          <w:tcPr>
            <w:tcW w:w="1674" w:type="dxa"/>
            <w:tcBorders>
              <w:top w:val="single" w:color="auto" w:sz="4" w:space="0"/>
              <w:left w:val="single" w:color="auto" w:sz="4" w:space="0"/>
              <w:bottom w:val="single" w:color="auto" w:sz="4" w:space="0"/>
              <w:right w:val="single" w:color="auto" w:sz="4" w:space="0"/>
            </w:tcBorders>
            <w:vAlign w:val="center"/>
          </w:tcPr>
          <w:p w14:paraId="17A20950">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职务</w:t>
            </w:r>
          </w:p>
        </w:tc>
        <w:tc>
          <w:tcPr>
            <w:tcW w:w="1821" w:type="dxa"/>
            <w:tcBorders>
              <w:top w:val="single" w:color="auto" w:sz="4" w:space="0"/>
              <w:left w:val="single" w:color="auto" w:sz="4" w:space="0"/>
              <w:bottom w:val="single" w:color="auto" w:sz="4" w:space="0"/>
              <w:right w:val="single" w:color="auto" w:sz="4" w:space="0"/>
            </w:tcBorders>
            <w:noWrap/>
            <w:vAlign w:val="center"/>
          </w:tcPr>
          <w:p w14:paraId="7DD83738">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手机</w:t>
            </w:r>
          </w:p>
        </w:tc>
      </w:tr>
      <w:tr w14:paraId="3115119E">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5327DD6">
            <w:pPr>
              <w:spacing w:line="440" w:lineRule="atLeast"/>
              <w:jc w:val="center"/>
              <w:rPr>
                <w:rFonts w:eastAsia="方正仿宋简体"/>
                <w:sz w:val="24"/>
                <w:szCs w:val="24"/>
              </w:rPr>
            </w:pPr>
            <w:r>
              <w:rPr>
                <w:rFonts w:eastAsia="方正仿宋简体"/>
                <w:sz w:val="24"/>
                <w:szCs w:val="24"/>
              </w:rPr>
              <w:t>1</w:t>
            </w:r>
          </w:p>
        </w:tc>
        <w:tc>
          <w:tcPr>
            <w:tcW w:w="3162" w:type="dxa"/>
            <w:tcBorders>
              <w:top w:val="single" w:color="auto" w:sz="4" w:space="0"/>
              <w:left w:val="nil"/>
              <w:bottom w:val="single" w:color="auto" w:sz="4" w:space="0"/>
              <w:right w:val="single" w:color="auto" w:sz="4" w:space="0"/>
            </w:tcBorders>
            <w:vAlign w:val="center"/>
          </w:tcPr>
          <w:p w14:paraId="235AB4B2">
            <w:pPr>
              <w:spacing w:line="440" w:lineRule="atLeast"/>
              <w:jc w:val="center"/>
              <w:rPr>
                <w:rFonts w:eastAsia="方正仿宋简体"/>
                <w:sz w:val="24"/>
                <w:szCs w:val="24"/>
              </w:rPr>
            </w:pPr>
            <w:r>
              <w:rPr>
                <w:rFonts w:eastAsia="方正仿宋简体"/>
                <w:sz w:val="24"/>
                <w:szCs w:val="24"/>
              </w:rPr>
              <w:t>县政府</w:t>
            </w:r>
          </w:p>
        </w:tc>
        <w:tc>
          <w:tcPr>
            <w:tcW w:w="1298" w:type="dxa"/>
            <w:tcBorders>
              <w:top w:val="single" w:color="auto" w:sz="4" w:space="0"/>
              <w:left w:val="nil"/>
              <w:bottom w:val="single" w:color="auto" w:sz="4" w:space="0"/>
              <w:right w:val="single" w:color="auto" w:sz="4" w:space="0"/>
            </w:tcBorders>
            <w:vAlign w:val="center"/>
          </w:tcPr>
          <w:p w14:paraId="280C8BD3">
            <w:pPr>
              <w:spacing w:line="440" w:lineRule="atLeast"/>
              <w:jc w:val="center"/>
              <w:rPr>
                <w:rFonts w:eastAsia="方正仿宋简体"/>
                <w:sz w:val="24"/>
                <w:szCs w:val="24"/>
              </w:rPr>
            </w:pPr>
            <w:r>
              <w:rPr>
                <w:rFonts w:eastAsia="方正仿宋简体"/>
                <w:sz w:val="24"/>
                <w:szCs w:val="24"/>
              </w:rPr>
              <w:t>钟旗胜</w:t>
            </w:r>
          </w:p>
        </w:tc>
        <w:tc>
          <w:tcPr>
            <w:tcW w:w="1674" w:type="dxa"/>
            <w:tcBorders>
              <w:top w:val="single" w:color="auto" w:sz="4" w:space="0"/>
              <w:left w:val="single" w:color="auto" w:sz="4" w:space="0"/>
              <w:bottom w:val="single" w:color="auto" w:sz="4" w:space="0"/>
              <w:right w:val="single" w:color="auto" w:sz="4" w:space="0"/>
            </w:tcBorders>
            <w:vAlign w:val="center"/>
          </w:tcPr>
          <w:p w14:paraId="1A735231">
            <w:pPr>
              <w:spacing w:line="440" w:lineRule="atLeast"/>
              <w:jc w:val="center"/>
              <w:rPr>
                <w:rFonts w:eastAsia="方正仿宋简体"/>
                <w:sz w:val="24"/>
                <w:szCs w:val="24"/>
              </w:rPr>
            </w:pPr>
            <w:r>
              <w:rPr>
                <w:rFonts w:eastAsia="方正仿宋简体"/>
                <w:sz w:val="24"/>
                <w:szCs w:val="24"/>
              </w:rPr>
              <w:t>副县长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624A1585">
            <w:pPr>
              <w:spacing w:line="440" w:lineRule="atLeast"/>
              <w:jc w:val="center"/>
              <w:rPr>
                <w:rFonts w:eastAsia="方正仿宋简体"/>
                <w:sz w:val="24"/>
                <w:szCs w:val="24"/>
              </w:rPr>
            </w:pPr>
            <w:r>
              <w:rPr>
                <w:rFonts w:hint="eastAsia" w:eastAsia="方正仿宋简体"/>
                <w:sz w:val="24"/>
                <w:szCs w:val="24"/>
              </w:rPr>
              <w:t>5843696</w:t>
            </w:r>
          </w:p>
        </w:tc>
      </w:tr>
      <w:tr w14:paraId="34792478">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61E40A4">
            <w:pPr>
              <w:spacing w:line="440" w:lineRule="atLeast"/>
              <w:jc w:val="center"/>
              <w:rPr>
                <w:rFonts w:eastAsia="方正仿宋简体"/>
                <w:sz w:val="24"/>
                <w:szCs w:val="24"/>
              </w:rPr>
            </w:pPr>
            <w:r>
              <w:rPr>
                <w:rFonts w:eastAsia="方正仿宋简体"/>
                <w:sz w:val="24"/>
                <w:szCs w:val="24"/>
              </w:rPr>
              <w:t>2</w:t>
            </w:r>
          </w:p>
        </w:tc>
        <w:tc>
          <w:tcPr>
            <w:tcW w:w="3162" w:type="dxa"/>
            <w:tcBorders>
              <w:top w:val="single" w:color="auto" w:sz="4" w:space="0"/>
              <w:left w:val="nil"/>
              <w:bottom w:val="single" w:color="auto" w:sz="4" w:space="0"/>
              <w:right w:val="single" w:color="auto" w:sz="4" w:space="0"/>
            </w:tcBorders>
            <w:vAlign w:val="center"/>
          </w:tcPr>
          <w:p w14:paraId="3759A326">
            <w:pPr>
              <w:spacing w:line="440" w:lineRule="atLeast"/>
              <w:jc w:val="center"/>
              <w:rPr>
                <w:rFonts w:hint="eastAsia" w:eastAsia="方正仿宋简体"/>
                <w:sz w:val="24"/>
                <w:szCs w:val="24"/>
              </w:rPr>
            </w:pPr>
            <w:r>
              <w:rPr>
                <w:rFonts w:eastAsia="方正仿宋简体"/>
                <w:sz w:val="24"/>
                <w:szCs w:val="24"/>
              </w:rPr>
              <w:t>县政府</w:t>
            </w:r>
            <w:r>
              <w:rPr>
                <w:rFonts w:hint="eastAsia" w:eastAsia="方正仿宋简体"/>
                <w:sz w:val="24"/>
                <w:szCs w:val="24"/>
              </w:rPr>
              <w:t>办公室</w:t>
            </w:r>
          </w:p>
        </w:tc>
        <w:tc>
          <w:tcPr>
            <w:tcW w:w="1298" w:type="dxa"/>
            <w:tcBorders>
              <w:top w:val="single" w:color="auto" w:sz="4" w:space="0"/>
              <w:left w:val="nil"/>
              <w:bottom w:val="single" w:color="auto" w:sz="4" w:space="0"/>
              <w:right w:val="single" w:color="auto" w:sz="4" w:space="0"/>
            </w:tcBorders>
            <w:vAlign w:val="center"/>
          </w:tcPr>
          <w:p w14:paraId="657D7E81">
            <w:pPr>
              <w:spacing w:line="440" w:lineRule="atLeast"/>
              <w:jc w:val="center"/>
              <w:rPr>
                <w:rFonts w:eastAsia="方正仿宋简体"/>
                <w:sz w:val="24"/>
                <w:szCs w:val="24"/>
              </w:rPr>
            </w:pPr>
            <w:r>
              <w:rPr>
                <w:rFonts w:eastAsia="方正仿宋简体"/>
                <w:sz w:val="24"/>
                <w:szCs w:val="24"/>
              </w:rPr>
              <w:t>陈维海</w:t>
            </w:r>
          </w:p>
        </w:tc>
        <w:tc>
          <w:tcPr>
            <w:tcW w:w="1674" w:type="dxa"/>
            <w:tcBorders>
              <w:top w:val="single" w:color="auto" w:sz="4" w:space="0"/>
              <w:left w:val="single" w:color="auto" w:sz="4" w:space="0"/>
              <w:bottom w:val="single" w:color="auto" w:sz="4" w:space="0"/>
              <w:right w:val="single" w:color="auto" w:sz="4" w:space="0"/>
            </w:tcBorders>
            <w:vAlign w:val="center"/>
          </w:tcPr>
          <w:p w14:paraId="3D8EF91A">
            <w:pPr>
              <w:spacing w:line="440" w:lineRule="atLeast"/>
              <w:jc w:val="center"/>
              <w:rPr>
                <w:rFonts w:eastAsia="方正仿宋简体"/>
                <w:sz w:val="24"/>
                <w:szCs w:val="24"/>
              </w:rPr>
            </w:pPr>
            <w:r>
              <w:rPr>
                <w:rFonts w:eastAsia="方正仿宋简体"/>
                <w:sz w:val="24"/>
                <w:szCs w:val="24"/>
              </w:rPr>
              <w:t>副主任</w:t>
            </w:r>
          </w:p>
        </w:tc>
        <w:tc>
          <w:tcPr>
            <w:tcW w:w="1821" w:type="dxa"/>
            <w:tcBorders>
              <w:top w:val="single" w:color="auto" w:sz="4" w:space="0"/>
              <w:left w:val="single" w:color="auto" w:sz="4" w:space="0"/>
              <w:bottom w:val="single" w:color="auto" w:sz="4" w:space="0"/>
              <w:right w:val="single" w:color="auto" w:sz="4" w:space="0"/>
            </w:tcBorders>
            <w:noWrap/>
            <w:vAlign w:val="center"/>
          </w:tcPr>
          <w:p w14:paraId="0BECB739">
            <w:pPr>
              <w:spacing w:line="440" w:lineRule="atLeast"/>
              <w:jc w:val="center"/>
              <w:rPr>
                <w:rFonts w:eastAsia="方正仿宋简体"/>
                <w:sz w:val="24"/>
                <w:szCs w:val="24"/>
              </w:rPr>
            </w:pPr>
            <w:r>
              <w:rPr>
                <w:rFonts w:hint="eastAsia" w:eastAsia="方正仿宋简体"/>
                <w:sz w:val="24"/>
                <w:szCs w:val="24"/>
              </w:rPr>
              <w:t>5839860</w:t>
            </w:r>
          </w:p>
        </w:tc>
      </w:tr>
      <w:tr w14:paraId="4F91B0FB">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84A959D">
            <w:pPr>
              <w:spacing w:line="440" w:lineRule="atLeast"/>
              <w:jc w:val="center"/>
              <w:rPr>
                <w:rFonts w:eastAsia="方正仿宋简体"/>
                <w:sz w:val="24"/>
                <w:szCs w:val="24"/>
              </w:rPr>
            </w:pPr>
            <w:r>
              <w:rPr>
                <w:rFonts w:eastAsia="方正仿宋简体"/>
                <w:sz w:val="24"/>
                <w:szCs w:val="24"/>
              </w:rPr>
              <w:t>3</w:t>
            </w:r>
          </w:p>
        </w:tc>
        <w:tc>
          <w:tcPr>
            <w:tcW w:w="3162" w:type="dxa"/>
            <w:tcBorders>
              <w:top w:val="single" w:color="auto" w:sz="4" w:space="0"/>
              <w:left w:val="nil"/>
              <w:bottom w:val="single" w:color="auto" w:sz="4" w:space="0"/>
              <w:right w:val="single" w:color="auto" w:sz="4" w:space="0"/>
            </w:tcBorders>
            <w:vAlign w:val="center"/>
          </w:tcPr>
          <w:p w14:paraId="47514440">
            <w:pPr>
              <w:spacing w:line="440" w:lineRule="atLeast"/>
              <w:jc w:val="center"/>
              <w:rPr>
                <w:rFonts w:eastAsia="方正仿宋简体"/>
                <w:sz w:val="24"/>
                <w:szCs w:val="24"/>
              </w:rPr>
            </w:pPr>
            <w:r>
              <w:rPr>
                <w:rFonts w:eastAsia="方正仿宋简体"/>
                <w:sz w:val="24"/>
                <w:szCs w:val="24"/>
              </w:rPr>
              <w:t>县环保局</w:t>
            </w:r>
          </w:p>
        </w:tc>
        <w:tc>
          <w:tcPr>
            <w:tcW w:w="1298" w:type="dxa"/>
            <w:tcBorders>
              <w:top w:val="single" w:color="auto" w:sz="4" w:space="0"/>
              <w:left w:val="nil"/>
              <w:bottom w:val="single" w:color="auto" w:sz="4" w:space="0"/>
              <w:right w:val="single" w:color="auto" w:sz="4" w:space="0"/>
            </w:tcBorders>
            <w:vAlign w:val="center"/>
          </w:tcPr>
          <w:p w14:paraId="7359DD0A">
            <w:pPr>
              <w:spacing w:line="440" w:lineRule="atLeast"/>
              <w:jc w:val="center"/>
              <w:rPr>
                <w:rFonts w:eastAsia="方正仿宋简体"/>
                <w:sz w:val="24"/>
                <w:szCs w:val="24"/>
              </w:rPr>
            </w:pPr>
            <w:r>
              <w:rPr>
                <w:rFonts w:eastAsia="方正仿宋简体"/>
                <w:sz w:val="24"/>
                <w:szCs w:val="24"/>
              </w:rPr>
              <w:t>罗可行</w:t>
            </w:r>
          </w:p>
        </w:tc>
        <w:tc>
          <w:tcPr>
            <w:tcW w:w="1674" w:type="dxa"/>
            <w:tcBorders>
              <w:top w:val="single" w:color="auto" w:sz="4" w:space="0"/>
              <w:left w:val="single" w:color="auto" w:sz="4" w:space="0"/>
              <w:bottom w:val="single" w:color="auto" w:sz="4" w:space="0"/>
              <w:right w:val="single" w:color="auto" w:sz="4" w:space="0"/>
            </w:tcBorders>
            <w:vAlign w:val="center"/>
          </w:tcPr>
          <w:p w14:paraId="589545B5">
            <w:pPr>
              <w:spacing w:line="440" w:lineRule="atLeast"/>
              <w:jc w:val="center"/>
              <w:rPr>
                <w:rFonts w:eastAsia="方正仿宋简体"/>
                <w:sz w:val="24"/>
                <w:szCs w:val="24"/>
              </w:rPr>
            </w:pPr>
            <w:r>
              <w:rPr>
                <w:rFonts w:eastAsia="方正仿宋简体"/>
                <w:sz w:val="24"/>
                <w:szCs w:val="24"/>
              </w:rPr>
              <w:t>局长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1B8C9E2D">
            <w:pPr>
              <w:spacing w:line="440" w:lineRule="atLeast"/>
              <w:jc w:val="center"/>
              <w:rPr>
                <w:rFonts w:eastAsia="方正仿宋简体"/>
                <w:sz w:val="24"/>
                <w:szCs w:val="24"/>
              </w:rPr>
            </w:pPr>
            <w:r>
              <w:rPr>
                <w:rFonts w:eastAsia="方正仿宋简体"/>
                <w:sz w:val="24"/>
                <w:szCs w:val="24"/>
              </w:rPr>
              <w:t>13507557899</w:t>
            </w:r>
          </w:p>
        </w:tc>
      </w:tr>
      <w:tr w14:paraId="54FB816B">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188261D">
            <w:pPr>
              <w:spacing w:line="440" w:lineRule="atLeast"/>
              <w:jc w:val="center"/>
              <w:rPr>
                <w:rFonts w:eastAsia="方正仿宋简体"/>
                <w:sz w:val="24"/>
                <w:szCs w:val="24"/>
              </w:rPr>
            </w:pPr>
            <w:r>
              <w:rPr>
                <w:rFonts w:eastAsia="方正仿宋简体"/>
                <w:sz w:val="24"/>
                <w:szCs w:val="24"/>
              </w:rPr>
              <w:t>4</w:t>
            </w:r>
          </w:p>
        </w:tc>
        <w:tc>
          <w:tcPr>
            <w:tcW w:w="3162" w:type="dxa"/>
            <w:tcBorders>
              <w:top w:val="single" w:color="auto" w:sz="4" w:space="0"/>
              <w:left w:val="nil"/>
              <w:bottom w:val="single" w:color="auto" w:sz="4" w:space="0"/>
              <w:right w:val="single" w:color="auto" w:sz="4" w:space="0"/>
            </w:tcBorders>
            <w:vAlign w:val="center"/>
          </w:tcPr>
          <w:p w14:paraId="37F98430">
            <w:pPr>
              <w:spacing w:line="440" w:lineRule="atLeast"/>
              <w:jc w:val="center"/>
              <w:rPr>
                <w:rFonts w:eastAsia="方正仿宋简体"/>
                <w:sz w:val="24"/>
                <w:szCs w:val="24"/>
              </w:rPr>
            </w:pPr>
            <w:r>
              <w:rPr>
                <w:rFonts w:eastAsia="方正仿宋简体"/>
                <w:sz w:val="24"/>
                <w:szCs w:val="24"/>
              </w:rPr>
              <w:t>县委宣传部</w:t>
            </w:r>
          </w:p>
        </w:tc>
        <w:tc>
          <w:tcPr>
            <w:tcW w:w="1298" w:type="dxa"/>
            <w:tcBorders>
              <w:top w:val="single" w:color="auto" w:sz="4" w:space="0"/>
              <w:left w:val="nil"/>
              <w:bottom w:val="single" w:color="auto" w:sz="4" w:space="0"/>
              <w:right w:val="single" w:color="auto" w:sz="4" w:space="0"/>
            </w:tcBorders>
            <w:vAlign w:val="center"/>
          </w:tcPr>
          <w:p w14:paraId="49233938">
            <w:pPr>
              <w:autoSpaceDE w:val="0"/>
              <w:autoSpaceDN w:val="0"/>
              <w:spacing w:line="440" w:lineRule="atLeast"/>
              <w:jc w:val="center"/>
              <w:textAlignment w:val="center"/>
              <w:rPr>
                <w:rFonts w:eastAsia="方正仿宋简体"/>
                <w:sz w:val="24"/>
                <w:szCs w:val="24"/>
              </w:rPr>
            </w:pPr>
            <w:r>
              <w:rPr>
                <w:rFonts w:eastAsia="方正仿宋简体"/>
                <w:sz w:val="24"/>
                <w:szCs w:val="24"/>
              </w:rPr>
              <w:t>陆辅春</w:t>
            </w:r>
          </w:p>
        </w:tc>
        <w:tc>
          <w:tcPr>
            <w:tcW w:w="1674" w:type="dxa"/>
            <w:tcBorders>
              <w:top w:val="single" w:color="auto" w:sz="4" w:space="0"/>
              <w:left w:val="single" w:color="auto" w:sz="4" w:space="0"/>
              <w:bottom w:val="single" w:color="auto" w:sz="4" w:space="0"/>
              <w:right w:val="single" w:color="auto" w:sz="4" w:space="0"/>
            </w:tcBorders>
            <w:vAlign w:val="center"/>
          </w:tcPr>
          <w:p w14:paraId="33837EAC">
            <w:pPr>
              <w:autoSpaceDE w:val="0"/>
              <w:autoSpaceDN w:val="0"/>
              <w:spacing w:line="440" w:lineRule="atLeast"/>
              <w:jc w:val="center"/>
              <w:textAlignment w:val="center"/>
              <w:rPr>
                <w:rFonts w:eastAsia="方正仿宋简体"/>
                <w:sz w:val="24"/>
                <w:szCs w:val="24"/>
              </w:rPr>
            </w:pPr>
            <w:r>
              <w:rPr>
                <w:rFonts w:eastAsia="方正仿宋简体"/>
                <w:sz w:val="24"/>
                <w:szCs w:val="24"/>
              </w:rPr>
              <w:t>副部长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3CB27FC1">
            <w:pPr>
              <w:autoSpaceDE w:val="0"/>
              <w:autoSpaceDN w:val="0"/>
              <w:spacing w:line="440" w:lineRule="atLeast"/>
              <w:jc w:val="center"/>
              <w:textAlignment w:val="center"/>
              <w:rPr>
                <w:rFonts w:eastAsia="方正仿宋简体"/>
                <w:sz w:val="24"/>
                <w:szCs w:val="24"/>
              </w:rPr>
            </w:pPr>
            <w:r>
              <w:rPr>
                <w:rFonts w:eastAsia="方正仿宋简体"/>
                <w:sz w:val="24"/>
                <w:szCs w:val="24"/>
              </w:rPr>
              <w:t>15160600169</w:t>
            </w:r>
          </w:p>
        </w:tc>
      </w:tr>
      <w:tr w14:paraId="1E0DD6E0">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1E6807D">
            <w:pPr>
              <w:spacing w:line="440" w:lineRule="atLeast"/>
              <w:jc w:val="center"/>
              <w:rPr>
                <w:rFonts w:eastAsia="方正仿宋简体"/>
                <w:sz w:val="24"/>
                <w:szCs w:val="24"/>
              </w:rPr>
            </w:pPr>
            <w:r>
              <w:rPr>
                <w:rFonts w:eastAsia="方正仿宋简体"/>
                <w:sz w:val="24"/>
                <w:szCs w:val="24"/>
              </w:rPr>
              <w:t>5</w:t>
            </w:r>
          </w:p>
        </w:tc>
        <w:tc>
          <w:tcPr>
            <w:tcW w:w="3162" w:type="dxa"/>
            <w:tcBorders>
              <w:top w:val="single" w:color="auto" w:sz="4" w:space="0"/>
              <w:left w:val="nil"/>
              <w:bottom w:val="single" w:color="auto" w:sz="4" w:space="0"/>
              <w:right w:val="single" w:color="auto" w:sz="4" w:space="0"/>
            </w:tcBorders>
            <w:vAlign w:val="center"/>
          </w:tcPr>
          <w:p w14:paraId="65213756">
            <w:pPr>
              <w:spacing w:line="440" w:lineRule="atLeast"/>
              <w:jc w:val="center"/>
              <w:rPr>
                <w:rFonts w:eastAsia="方正仿宋简体"/>
                <w:sz w:val="24"/>
                <w:szCs w:val="24"/>
              </w:rPr>
            </w:pPr>
            <w:r>
              <w:rPr>
                <w:rFonts w:eastAsia="方正仿宋简体"/>
                <w:sz w:val="24"/>
                <w:szCs w:val="24"/>
              </w:rPr>
              <w:t>县发改局</w:t>
            </w:r>
          </w:p>
        </w:tc>
        <w:tc>
          <w:tcPr>
            <w:tcW w:w="1298" w:type="dxa"/>
            <w:tcBorders>
              <w:top w:val="single" w:color="auto" w:sz="4" w:space="0"/>
              <w:left w:val="nil"/>
              <w:bottom w:val="single" w:color="auto" w:sz="4" w:space="0"/>
              <w:right w:val="single" w:color="auto" w:sz="4" w:space="0"/>
            </w:tcBorders>
            <w:vAlign w:val="center"/>
          </w:tcPr>
          <w:p w14:paraId="6D070408">
            <w:pPr>
              <w:autoSpaceDE w:val="0"/>
              <w:autoSpaceDN w:val="0"/>
              <w:spacing w:line="440" w:lineRule="atLeast"/>
              <w:jc w:val="center"/>
              <w:textAlignment w:val="center"/>
              <w:rPr>
                <w:rFonts w:eastAsia="方正仿宋简体"/>
                <w:sz w:val="24"/>
                <w:szCs w:val="24"/>
              </w:rPr>
            </w:pPr>
            <w:r>
              <w:rPr>
                <w:rFonts w:eastAsia="方正仿宋简体"/>
                <w:sz w:val="24"/>
                <w:szCs w:val="24"/>
              </w:rPr>
              <w:t>张远鸿</w:t>
            </w:r>
          </w:p>
        </w:tc>
        <w:tc>
          <w:tcPr>
            <w:tcW w:w="1674" w:type="dxa"/>
            <w:tcBorders>
              <w:top w:val="single" w:color="auto" w:sz="4" w:space="0"/>
              <w:left w:val="single" w:color="auto" w:sz="4" w:space="0"/>
              <w:bottom w:val="single" w:color="auto" w:sz="4" w:space="0"/>
              <w:right w:val="single" w:color="auto" w:sz="4" w:space="0"/>
            </w:tcBorders>
            <w:vAlign w:val="center"/>
          </w:tcPr>
          <w:p w14:paraId="66E946A9">
            <w:pPr>
              <w:spacing w:line="440" w:lineRule="atLeast"/>
              <w:jc w:val="center"/>
              <w:rPr>
                <w:rFonts w:eastAsia="方正仿宋简体"/>
                <w:sz w:val="24"/>
                <w:szCs w:val="24"/>
              </w:rPr>
            </w:pPr>
            <w:r>
              <w:rPr>
                <w:rFonts w:eastAsia="方正仿宋简体"/>
                <w:sz w:val="24"/>
                <w:szCs w:val="24"/>
              </w:rPr>
              <w:t>副局长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748E8007">
            <w:pPr>
              <w:autoSpaceDE w:val="0"/>
              <w:autoSpaceDN w:val="0"/>
              <w:spacing w:line="440" w:lineRule="atLeast"/>
              <w:jc w:val="center"/>
              <w:textAlignment w:val="center"/>
              <w:rPr>
                <w:rFonts w:eastAsia="方正仿宋简体"/>
                <w:sz w:val="24"/>
                <w:szCs w:val="24"/>
              </w:rPr>
            </w:pPr>
            <w:r>
              <w:rPr>
                <w:rFonts w:eastAsia="方正仿宋简体"/>
                <w:sz w:val="24"/>
                <w:szCs w:val="24"/>
              </w:rPr>
              <w:t>13515983716</w:t>
            </w:r>
          </w:p>
        </w:tc>
      </w:tr>
      <w:tr w14:paraId="497EFFED">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71CED041">
            <w:pPr>
              <w:spacing w:line="440" w:lineRule="atLeast"/>
              <w:jc w:val="center"/>
              <w:rPr>
                <w:rFonts w:eastAsia="方正仿宋简体"/>
                <w:sz w:val="24"/>
                <w:szCs w:val="24"/>
              </w:rPr>
            </w:pPr>
            <w:r>
              <w:rPr>
                <w:rFonts w:eastAsia="方正仿宋简体"/>
                <w:sz w:val="24"/>
                <w:szCs w:val="24"/>
              </w:rPr>
              <w:t>6</w:t>
            </w:r>
          </w:p>
        </w:tc>
        <w:tc>
          <w:tcPr>
            <w:tcW w:w="3162" w:type="dxa"/>
            <w:tcBorders>
              <w:top w:val="nil"/>
              <w:left w:val="nil"/>
              <w:bottom w:val="single" w:color="auto" w:sz="4" w:space="0"/>
              <w:right w:val="single" w:color="auto" w:sz="4" w:space="0"/>
            </w:tcBorders>
            <w:vAlign w:val="center"/>
          </w:tcPr>
          <w:p w14:paraId="5AD4C254">
            <w:pPr>
              <w:spacing w:line="440" w:lineRule="atLeast"/>
              <w:jc w:val="center"/>
              <w:rPr>
                <w:rFonts w:eastAsia="方正仿宋简体"/>
                <w:sz w:val="24"/>
                <w:szCs w:val="24"/>
              </w:rPr>
            </w:pPr>
            <w:r>
              <w:rPr>
                <w:rFonts w:eastAsia="方正仿宋简体"/>
                <w:sz w:val="24"/>
                <w:szCs w:val="24"/>
              </w:rPr>
              <w:t>县公安局</w:t>
            </w:r>
          </w:p>
        </w:tc>
        <w:tc>
          <w:tcPr>
            <w:tcW w:w="1298" w:type="dxa"/>
            <w:tcBorders>
              <w:top w:val="nil"/>
              <w:left w:val="nil"/>
              <w:bottom w:val="single" w:color="auto" w:sz="4" w:space="0"/>
              <w:right w:val="single" w:color="auto" w:sz="4" w:space="0"/>
            </w:tcBorders>
            <w:vAlign w:val="center"/>
          </w:tcPr>
          <w:p w14:paraId="146CBB18">
            <w:pPr>
              <w:autoSpaceDE w:val="0"/>
              <w:autoSpaceDN w:val="0"/>
              <w:spacing w:line="440" w:lineRule="atLeast"/>
              <w:jc w:val="center"/>
              <w:textAlignment w:val="center"/>
              <w:rPr>
                <w:rFonts w:eastAsia="方正仿宋简体"/>
                <w:sz w:val="24"/>
                <w:szCs w:val="24"/>
              </w:rPr>
            </w:pPr>
            <w:r>
              <w:rPr>
                <w:rFonts w:eastAsia="方正仿宋简体"/>
                <w:sz w:val="24"/>
                <w:szCs w:val="24"/>
              </w:rPr>
              <w:t>罗奋贤</w:t>
            </w:r>
          </w:p>
        </w:tc>
        <w:tc>
          <w:tcPr>
            <w:tcW w:w="1674" w:type="dxa"/>
            <w:tcBorders>
              <w:top w:val="nil"/>
              <w:left w:val="single" w:color="auto" w:sz="4" w:space="0"/>
              <w:bottom w:val="single" w:color="auto" w:sz="4" w:space="0"/>
              <w:right w:val="single" w:color="auto" w:sz="4" w:space="0"/>
            </w:tcBorders>
            <w:vAlign w:val="center"/>
          </w:tcPr>
          <w:p w14:paraId="62EC9F7F">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424FE22D">
            <w:pPr>
              <w:autoSpaceDE w:val="0"/>
              <w:autoSpaceDN w:val="0"/>
              <w:spacing w:line="440" w:lineRule="atLeast"/>
              <w:jc w:val="center"/>
              <w:textAlignment w:val="center"/>
              <w:rPr>
                <w:rFonts w:eastAsia="方正仿宋简体"/>
                <w:sz w:val="24"/>
                <w:szCs w:val="24"/>
              </w:rPr>
            </w:pPr>
            <w:r>
              <w:rPr>
                <w:rFonts w:eastAsia="方正仿宋简体"/>
                <w:sz w:val="24"/>
                <w:szCs w:val="24"/>
              </w:rPr>
              <w:t>13850865386</w:t>
            </w:r>
          </w:p>
        </w:tc>
      </w:tr>
      <w:tr w14:paraId="128B8030">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44D54659">
            <w:pPr>
              <w:spacing w:line="440" w:lineRule="atLeast"/>
              <w:jc w:val="center"/>
              <w:rPr>
                <w:rFonts w:eastAsia="方正仿宋简体"/>
                <w:sz w:val="24"/>
                <w:szCs w:val="24"/>
              </w:rPr>
            </w:pPr>
            <w:r>
              <w:rPr>
                <w:rFonts w:eastAsia="方正仿宋简体"/>
                <w:sz w:val="24"/>
                <w:szCs w:val="24"/>
              </w:rPr>
              <w:t>7</w:t>
            </w:r>
          </w:p>
        </w:tc>
        <w:tc>
          <w:tcPr>
            <w:tcW w:w="3162" w:type="dxa"/>
            <w:tcBorders>
              <w:top w:val="nil"/>
              <w:left w:val="nil"/>
              <w:bottom w:val="single" w:color="auto" w:sz="4" w:space="0"/>
              <w:right w:val="single" w:color="auto" w:sz="4" w:space="0"/>
            </w:tcBorders>
            <w:vAlign w:val="center"/>
          </w:tcPr>
          <w:p w14:paraId="41E4D640">
            <w:pPr>
              <w:spacing w:line="440" w:lineRule="atLeast"/>
              <w:jc w:val="center"/>
              <w:rPr>
                <w:rFonts w:eastAsia="方正仿宋简体"/>
                <w:sz w:val="24"/>
                <w:szCs w:val="24"/>
              </w:rPr>
            </w:pPr>
            <w:r>
              <w:rPr>
                <w:rFonts w:eastAsia="方正仿宋简体"/>
                <w:sz w:val="24"/>
                <w:szCs w:val="24"/>
              </w:rPr>
              <w:t>县财政局</w:t>
            </w:r>
          </w:p>
        </w:tc>
        <w:tc>
          <w:tcPr>
            <w:tcW w:w="1298" w:type="dxa"/>
            <w:tcBorders>
              <w:top w:val="nil"/>
              <w:left w:val="nil"/>
              <w:bottom w:val="single" w:color="auto" w:sz="4" w:space="0"/>
              <w:right w:val="single" w:color="auto" w:sz="4" w:space="0"/>
            </w:tcBorders>
            <w:vAlign w:val="center"/>
          </w:tcPr>
          <w:p w14:paraId="4BE1819F">
            <w:pPr>
              <w:spacing w:line="440" w:lineRule="atLeast"/>
              <w:jc w:val="center"/>
              <w:rPr>
                <w:rFonts w:eastAsia="方正仿宋简体"/>
                <w:sz w:val="24"/>
                <w:szCs w:val="24"/>
              </w:rPr>
            </w:pPr>
            <w:r>
              <w:rPr>
                <w:rFonts w:eastAsia="方正仿宋简体"/>
                <w:sz w:val="24"/>
                <w:szCs w:val="24"/>
              </w:rPr>
              <w:t>洪华江</w:t>
            </w:r>
          </w:p>
        </w:tc>
        <w:tc>
          <w:tcPr>
            <w:tcW w:w="1674" w:type="dxa"/>
            <w:tcBorders>
              <w:top w:val="nil"/>
              <w:left w:val="single" w:color="auto" w:sz="4" w:space="0"/>
              <w:bottom w:val="single" w:color="auto" w:sz="4" w:space="0"/>
              <w:right w:val="single" w:color="auto" w:sz="4" w:space="0"/>
            </w:tcBorders>
            <w:vAlign w:val="center"/>
          </w:tcPr>
          <w:p w14:paraId="4C0B699F">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6B7A2BBE">
            <w:pPr>
              <w:spacing w:line="440" w:lineRule="atLeast"/>
              <w:jc w:val="center"/>
              <w:rPr>
                <w:rFonts w:eastAsia="方正仿宋简体"/>
                <w:sz w:val="24"/>
                <w:szCs w:val="24"/>
              </w:rPr>
            </w:pPr>
            <w:r>
              <w:rPr>
                <w:rFonts w:eastAsia="方正仿宋简体"/>
                <w:sz w:val="24"/>
                <w:szCs w:val="24"/>
              </w:rPr>
              <w:t>13906985799</w:t>
            </w:r>
          </w:p>
        </w:tc>
      </w:tr>
      <w:tr w14:paraId="2D6B1688">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5E6A186B">
            <w:pPr>
              <w:spacing w:line="440" w:lineRule="atLeast"/>
              <w:jc w:val="center"/>
              <w:rPr>
                <w:rFonts w:eastAsia="方正仿宋简体"/>
                <w:sz w:val="24"/>
                <w:szCs w:val="24"/>
              </w:rPr>
            </w:pPr>
            <w:r>
              <w:rPr>
                <w:rFonts w:eastAsia="方正仿宋简体"/>
                <w:sz w:val="24"/>
                <w:szCs w:val="24"/>
              </w:rPr>
              <w:t>8</w:t>
            </w:r>
          </w:p>
        </w:tc>
        <w:tc>
          <w:tcPr>
            <w:tcW w:w="3162" w:type="dxa"/>
            <w:tcBorders>
              <w:top w:val="nil"/>
              <w:left w:val="nil"/>
              <w:bottom w:val="single" w:color="auto" w:sz="4" w:space="0"/>
              <w:right w:val="single" w:color="auto" w:sz="4" w:space="0"/>
            </w:tcBorders>
            <w:vAlign w:val="center"/>
          </w:tcPr>
          <w:p w14:paraId="5215B3C7">
            <w:pPr>
              <w:spacing w:line="440" w:lineRule="atLeast"/>
              <w:jc w:val="center"/>
              <w:rPr>
                <w:rFonts w:eastAsia="方正仿宋简体"/>
                <w:sz w:val="24"/>
                <w:szCs w:val="24"/>
              </w:rPr>
            </w:pPr>
            <w:r>
              <w:rPr>
                <w:rFonts w:eastAsia="方正仿宋简体"/>
                <w:sz w:val="24"/>
                <w:szCs w:val="24"/>
              </w:rPr>
              <w:t>县交通运输局</w:t>
            </w:r>
          </w:p>
        </w:tc>
        <w:tc>
          <w:tcPr>
            <w:tcW w:w="1298" w:type="dxa"/>
            <w:tcBorders>
              <w:top w:val="nil"/>
              <w:left w:val="nil"/>
              <w:bottom w:val="single" w:color="auto" w:sz="4" w:space="0"/>
              <w:right w:val="single" w:color="auto" w:sz="4" w:space="0"/>
            </w:tcBorders>
            <w:vAlign w:val="center"/>
          </w:tcPr>
          <w:p w14:paraId="2943B0CF">
            <w:pPr>
              <w:autoSpaceDE w:val="0"/>
              <w:autoSpaceDN w:val="0"/>
              <w:spacing w:line="440" w:lineRule="atLeast"/>
              <w:jc w:val="center"/>
              <w:textAlignment w:val="center"/>
              <w:rPr>
                <w:rFonts w:eastAsia="方正仿宋简体"/>
                <w:sz w:val="24"/>
                <w:szCs w:val="24"/>
              </w:rPr>
            </w:pPr>
            <w:r>
              <w:rPr>
                <w:rFonts w:eastAsia="方正仿宋简体"/>
                <w:sz w:val="24"/>
                <w:szCs w:val="24"/>
              </w:rPr>
              <w:t>陈庸兴</w:t>
            </w:r>
          </w:p>
        </w:tc>
        <w:tc>
          <w:tcPr>
            <w:tcW w:w="1674" w:type="dxa"/>
            <w:tcBorders>
              <w:top w:val="nil"/>
              <w:left w:val="single" w:color="auto" w:sz="4" w:space="0"/>
              <w:bottom w:val="single" w:color="auto" w:sz="4" w:space="0"/>
              <w:right w:val="single" w:color="auto" w:sz="4" w:space="0"/>
            </w:tcBorders>
            <w:vAlign w:val="center"/>
          </w:tcPr>
          <w:p w14:paraId="25CA0E43">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6383F822">
            <w:pPr>
              <w:autoSpaceDE w:val="0"/>
              <w:autoSpaceDN w:val="0"/>
              <w:spacing w:line="440" w:lineRule="atLeast"/>
              <w:jc w:val="center"/>
              <w:textAlignment w:val="center"/>
              <w:rPr>
                <w:rFonts w:eastAsia="方正仿宋简体"/>
                <w:sz w:val="24"/>
                <w:szCs w:val="24"/>
              </w:rPr>
            </w:pPr>
            <w:r>
              <w:rPr>
                <w:rFonts w:eastAsia="方正仿宋简体"/>
                <w:sz w:val="24"/>
                <w:szCs w:val="24"/>
              </w:rPr>
              <w:t>13507583983</w:t>
            </w:r>
          </w:p>
        </w:tc>
      </w:tr>
      <w:tr w14:paraId="6E22974D">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79F626BF">
            <w:pPr>
              <w:spacing w:line="440" w:lineRule="atLeast"/>
              <w:jc w:val="center"/>
              <w:rPr>
                <w:rFonts w:eastAsia="方正仿宋简体"/>
                <w:sz w:val="24"/>
                <w:szCs w:val="24"/>
              </w:rPr>
            </w:pPr>
            <w:r>
              <w:rPr>
                <w:rFonts w:eastAsia="方正仿宋简体"/>
                <w:sz w:val="24"/>
                <w:szCs w:val="24"/>
              </w:rPr>
              <w:t>9</w:t>
            </w:r>
          </w:p>
        </w:tc>
        <w:tc>
          <w:tcPr>
            <w:tcW w:w="3162" w:type="dxa"/>
            <w:tcBorders>
              <w:top w:val="nil"/>
              <w:left w:val="nil"/>
              <w:bottom w:val="single" w:color="auto" w:sz="4" w:space="0"/>
              <w:right w:val="single" w:color="auto" w:sz="4" w:space="0"/>
            </w:tcBorders>
            <w:noWrap/>
            <w:vAlign w:val="center"/>
          </w:tcPr>
          <w:p w14:paraId="23403601">
            <w:pPr>
              <w:spacing w:line="440" w:lineRule="atLeast"/>
              <w:jc w:val="center"/>
              <w:rPr>
                <w:rFonts w:eastAsia="方正仿宋简体"/>
                <w:sz w:val="24"/>
                <w:szCs w:val="24"/>
              </w:rPr>
            </w:pPr>
            <w:r>
              <w:rPr>
                <w:rFonts w:eastAsia="方正仿宋简体"/>
                <w:sz w:val="24"/>
                <w:szCs w:val="24"/>
              </w:rPr>
              <w:t>县水利局</w:t>
            </w:r>
          </w:p>
        </w:tc>
        <w:tc>
          <w:tcPr>
            <w:tcW w:w="1298" w:type="dxa"/>
            <w:tcBorders>
              <w:top w:val="nil"/>
              <w:left w:val="nil"/>
              <w:bottom w:val="single" w:color="auto" w:sz="4" w:space="0"/>
              <w:right w:val="single" w:color="auto" w:sz="4" w:space="0"/>
            </w:tcBorders>
            <w:vAlign w:val="center"/>
          </w:tcPr>
          <w:p w14:paraId="4E855920">
            <w:pPr>
              <w:spacing w:line="440" w:lineRule="atLeast"/>
              <w:jc w:val="center"/>
              <w:rPr>
                <w:rFonts w:eastAsia="方正仿宋简体"/>
                <w:sz w:val="24"/>
                <w:szCs w:val="24"/>
              </w:rPr>
            </w:pPr>
            <w:r>
              <w:rPr>
                <w:rFonts w:eastAsia="方正仿宋简体"/>
                <w:sz w:val="24"/>
                <w:szCs w:val="24"/>
              </w:rPr>
              <w:t>张铭河</w:t>
            </w:r>
          </w:p>
        </w:tc>
        <w:tc>
          <w:tcPr>
            <w:tcW w:w="1674" w:type="dxa"/>
            <w:tcBorders>
              <w:top w:val="nil"/>
              <w:left w:val="single" w:color="auto" w:sz="4" w:space="0"/>
              <w:bottom w:val="single" w:color="auto" w:sz="4" w:space="0"/>
              <w:right w:val="single" w:color="auto" w:sz="4" w:space="0"/>
            </w:tcBorders>
            <w:vAlign w:val="center"/>
          </w:tcPr>
          <w:p w14:paraId="4BE25032">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36C9B2BA">
            <w:pPr>
              <w:spacing w:line="440" w:lineRule="atLeast"/>
              <w:jc w:val="center"/>
              <w:rPr>
                <w:rFonts w:eastAsia="方正仿宋简体"/>
                <w:sz w:val="24"/>
                <w:szCs w:val="24"/>
              </w:rPr>
            </w:pPr>
            <w:r>
              <w:rPr>
                <w:rFonts w:eastAsia="方正仿宋简体"/>
                <w:sz w:val="24"/>
                <w:szCs w:val="24"/>
              </w:rPr>
              <w:t>15859856677</w:t>
            </w:r>
          </w:p>
        </w:tc>
      </w:tr>
      <w:tr w14:paraId="3651D2D6">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5D3178CD">
            <w:pPr>
              <w:spacing w:line="440" w:lineRule="atLeast"/>
              <w:jc w:val="center"/>
              <w:rPr>
                <w:rFonts w:eastAsia="方正仿宋简体"/>
                <w:sz w:val="24"/>
                <w:szCs w:val="24"/>
              </w:rPr>
            </w:pPr>
            <w:r>
              <w:rPr>
                <w:rFonts w:eastAsia="方正仿宋简体"/>
                <w:sz w:val="24"/>
                <w:szCs w:val="24"/>
              </w:rPr>
              <w:t>10</w:t>
            </w:r>
          </w:p>
        </w:tc>
        <w:tc>
          <w:tcPr>
            <w:tcW w:w="3162" w:type="dxa"/>
            <w:tcBorders>
              <w:top w:val="nil"/>
              <w:left w:val="nil"/>
              <w:bottom w:val="single" w:color="auto" w:sz="4" w:space="0"/>
              <w:right w:val="single" w:color="auto" w:sz="4" w:space="0"/>
            </w:tcBorders>
            <w:noWrap/>
            <w:vAlign w:val="center"/>
          </w:tcPr>
          <w:p w14:paraId="545E95BC">
            <w:pPr>
              <w:spacing w:line="440" w:lineRule="atLeast"/>
              <w:jc w:val="center"/>
              <w:rPr>
                <w:rFonts w:eastAsia="方正仿宋简体"/>
                <w:sz w:val="24"/>
                <w:szCs w:val="24"/>
              </w:rPr>
            </w:pPr>
            <w:r>
              <w:rPr>
                <w:rFonts w:eastAsia="方正仿宋简体"/>
                <w:sz w:val="24"/>
                <w:szCs w:val="24"/>
              </w:rPr>
              <w:t>县农业局</w:t>
            </w:r>
          </w:p>
        </w:tc>
        <w:tc>
          <w:tcPr>
            <w:tcW w:w="1298" w:type="dxa"/>
            <w:tcBorders>
              <w:top w:val="nil"/>
              <w:left w:val="nil"/>
              <w:bottom w:val="single" w:color="auto" w:sz="4" w:space="0"/>
              <w:right w:val="single" w:color="auto" w:sz="4" w:space="0"/>
            </w:tcBorders>
            <w:vAlign w:val="center"/>
          </w:tcPr>
          <w:p w14:paraId="5A492383">
            <w:pPr>
              <w:spacing w:line="440" w:lineRule="atLeast"/>
              <w:jc w:val="center"/>
              <w:rPr>
                <w:rFonts w:eastAsia="方正仿宋简体"/>
                <w:sz w:val="24"/>
                <w:szCs w:val="24"/>
              </w:rPr>
            </w:pPr>
            <w:r>
              <w:rPr>
                <w:rFonts w:eastAsia="方正仿宋简体"/>
                <w:sz w:val="24"/>
                <w:szCs w:val="24"/>
              </w:rPr>
              <w:t>茅声火</w:t>
            </w:r>
          </w:p>
        </w:tc>
        <w:tc>
          <w:tcPr>
            <w:tcW w:w="1674" w:type="dxa"/>
            <w:tcBorders>
              <w:top w:val="nil"/>
              <w:left w:val="single" w:color="auto" w:sz="4" w:space="0"/>
              <w:bottom w:val="single" w:color="auto" w:sz="4" w:space="0"/>
              <w:right w:val="single" w:color="auto" w:sz="4" w:space="0"/>
            </w:tcBorders>
            <w:vAlign w:val="center"/>
          </w:tcPr>
          <w:p w14:paraId="50D2B95B">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6A1EC408">
            <w:pPr>
              <w:spacing w:line="440" w:lineRule="atLeast"/>
              <w:jc w:val="center"/>
              <w:rPr>
                <w:rFonts w:eastAsia="方正仿宋简体"/>
                <w:sz w:val="24"/>
                <w:szCs w:val="24"/>
              </w:rPr>
            </w:pPr>
            <w:r>
              <w:rPr>
                <w:rFonts w:eastAsia="方正仿宋简体"/>
                <w:sz w:val="24"/>
                <w:szCs w:val="24"/>
              </w:rPr>
              <w:t>13850826686</w:t>
            </w:r>
          </w:p>
        </w:tc>
      </w:tr>
      <w:tr w14:paraId="6B3014A7">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79CE3146">
            <w:pPr>
              <w:spacing w:line="440" w:lineRule="atLeast"/>
              <w:jc w:val="center"/>
              <w:rPr>
                <w:rFonts w:eastAsia="方正仿宋简体"/>
                <w:sz w:val="24"/>
                <w:szCs w:val="24"/>
              </w:rPr>
            </w:pPr>
            <w:r>
              <w:rPr>
                <w:rFonts w:eastAsia="方正仿宋简体"/>
                <w:sz w:val="24"/>
                <w:szCs w:val="24"/>
              </w:rPr>
              <w:t>11</w:t>
            </w:r>
          </w:p>
        </w:tc>
        <w:tc>
          <w:tcPr>
            <w:tcW w:w="3162" w:type="dxa"/>
            <w:tcBorders>
              <w:top w:val="nil"/>
              <w:left w:val="nil"/>
              <w:bottom w:val="single" w:color="auto" w:sz="4" w:space="0"/>
              <w:right w:val="single" w:color="auto" w:sz="4" w:space="0"/>
            </w:tcBorders>
            <w:noWrap/>
            <w:vAlign w:val="center"/>
          </w:tcPr>
          <w:p w14:paraId="6903C6E8">
            <w:pPr>
              <w:spacing w:line="440" w:lineRule="atLeast"/>
              <w:jc w:val="center"/>
              <w:rPr>
                <w:rFonts w:eastAsia="方正仿宋简体"/>
                <w:sz w:val="24"/>
                <w:szCs w:val="24"/>
              </w:rPr>
            </w:pPr>
            <w:r>
              <w:rPr>
                <w:rFonts w:eastAsia="方正仿宋简体"/>
                <w:sz w:val="24"/>
                <w:szCs w:val="24"/>
              </w:rPr>
              <w:t>县经信局（科技局）</w:t>
            </w:r>
          </w:p>
        </w:tc>
        <w:tc>
          <w:tcPr>
            <w:tcW w:w="1298" w:type="dxa"/>
            <w:tcBorders>
              <w:top w:val="nil"/>
              <w:left w:val="nil"/>
              <w:bottom w:val="single" w:color="auto" w:sz="4" w:space="0"/>
              <w:right w:val="single" w:color="auto" w:sz="4" w:space="0"/>
            </w:tcBorders>
            <w:vAlign w:val="center"/>
          </w:tcPr>
          <w:p w14:paraId="36EB40E5">
            <w:pPr>
              <w:autoSpaceDE w:val="0"/>
              <w:autoSpaceDN w:val="0"/>
              <w:spacing w:line="440" w:lineRule="atLeast"/>
              <w:jc w:val="center"/>
              <w:textAlignment w:val="center"/>
              <w:rPr>
                <w:rFonts w:eastAsia="方正仿宋简体"/>
                <w:sz w:val="24"/>
                <w:szCs w:val="24"/>
              </w:rPr>
            </w:pPr>
            <w:r>
              <w:rPr>
                <w:rFonts w:eastAsia="方正仿宋简体"/>
                <w:sz w:val="24"/>
                <w:szCs w:val="24"/>
              </w:rPr>
              <w:t>林祖龙</w:t>
            </w:r>
          </w:p>
        </w:tc>
        <w:tc>
          <w:tcPr>
            <w:tcW w:w="1674" w:type="dxa"/>
            <w:tcBorders>
              <w:top w:val="nil"/>
              <w:left w:val="single" w:color="auto" w:sz="4" w:space="0"/>
              <w:bottom w:val="single" w:color="auto" w:sz="4" w:space="0"/>
              <w:right w:val="single" w:color="auto" w:sz="4" w:space="0"/>
            </w:tcBorders>
            <w:vAlign w:val="center"/>
          </w:tcPr>
          <w:p w14:paraId="31E03E7E">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667CB0FE">
            <w:pPr>
              <w:autoSpaceDE w:val="0"/>
              <w:autoSpaceDN w:val="0"/>
              <w:spacing w:line="440" w:lineRule="atLeast"/>
              <w:jc w:val="center"/>
              <w:textAlignment w:val="center"/>
              <w:rPr>
                <w:rFonts w:eastAsia="方正仿宋简体"/>
                <w:sz w:val="24"/>
                <w:szCs w:val="24"/>
              </w:rPr>
            </w:pPr>
            <w:r>
              <w:rPr>
                <w:rFonts w:eastAsia="方正仿宋简体"/>
                <w:sz w:val="24"/>
                <w:szCs w:val="24"/>
              </w:rPr>
              <w:t>18005085139</w:t>
            </w:r>
          </w:p>
        </w:tc>
      </w:tr>
      <w:tr w14:paraId="7D6D30FC">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5F74CF32">
            <w:pPr>
              <w:spacing w:line="440" w:lineRule="atLeast"/>
              <w:jc w:val="center"/>
              <w:rPr>
                <w:rFonts w:eastAsia="方正仿宋简体"/>
                <w:sz w:val="24"/>
                <w:szCs w:val="24"/>
              </w:rPr>
            </w:pPr>
            <w:r>
              <w:rPr>
                <w:rFonts w:eastAsia="方正仿宋简体"/>
                <w:sz w:val="24"/>
                <w:szCs w:val="24"/>
              </w:rPr>
              <w:t>12</w:t>
            </w:r>
          </w:p>
        </w:tc>
        <w:tc>
          <w:tcPr>
            <w:tcW w:w="3162" w:type="dxa"/>
            <w:tcBorders>
              <w:top w:val="nil"/>
              <w:left w:val="nil"/>
              <w:bottom w:val="single" w:color="auto" w:sz="4" w:space="0"/>
              <w:right w:val="single" w:color="auto" w:sz="4" w:space="0"/>
            </w:tcBorders>
            <w:noWrap/>
            <w:vAlign w:val="center"/>
          </w:tcPr>
          <w:p w14:paraId="56266F82">
            <w:pPr>
              <w:spacing w:line="440" w:lineRule="atLeast"/>
              <w:jc w:val="center"/>
              <w:rPr>
                <w:rFonts w:eastAsia="方正仿宋简体"/>
                <w:sz w:val="24"/>
                <w:szCs w:val="24"/>
              </w:rPr>
            </w:pPr>
            <w:r>
              <w:rPr>
                <w:rFonts w:eastAsia="方正仿宋简体"/>
                <w:sz w:val="24"/>
                <w:szCs w:val="24"/>
              </w:rPr>
              <w:t>县卫计局</w:t>
            </w:r>
          </w:p>
        </w:tc>
        <w:tc>
          <w:tcPr>
            <w:tcW w:w="1298" w:type="dxa"/>
            <w:tcBorders>
              <w:top w:val="nil"/>
              <w:left w:val="nil"/>
              <w:bottom w:val="single" w:color="auto" w:sz="4" w:space="0"/>
              <w:right w:val="single" w:color="auto" w:sz="4" w:space="0"/>
            </w:tcBorders>
            <w:vAlign w:val="center"/>
          </w:tcPr>
          <w:p w14:paraId="22E26E98">
            <w:pPr>
              <w:autoSpaceDE w:val="0"/>
              <w:autoSpaceDN w:val="0"/>
              <w:spacing w:line="440" w:lineRule="atLeast"/>
              <w:jc w:val="center"/>
              <w:textAlignment w:val="center"/>
              <w:rPr>
                <w:rFonts w:eastAsia="方正仿宋简体"/>
                <w:sz w:val="24"/>
                <w:szCs w:val="24"/>
              </w:rPr>
            </w:pPr>
            <w:r>
              <w:rPr>
                <w:rFonts w:eastAsia="方正仿宋简体"/>
                <w:sz w:val="24"/>
                <w:szCs w:val="24"/>
              </w:rPr>
              <w:t>林启健</w:t>
            </w:r>
          </w:p>
        </w:tc>
        <w:tc>
          <w:tcPr>
            <w:tcW w:w="1674" w:type="dxa"/>
            <w:tcBorders>
              <w:top w:val="nil"/>
              <w:left w:val="single" w:color="auto" w:sz="4" w:space="0"/>
              <w:bottom w:val="single" w:color="auto" w:sz="4" w:space="0"/>
              <w:right w:val="single" w:color="auto" w:sz="4" w:space="0"/>
            </w:tcBorders>
            <w:vAlign w:val="center"/>
          </w:tcPr>
          <w:p w14:paraId="2597B094">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7991729E">
            <w:pPr>
              <w:autoSpaceDE w:val="0"/>
              <w:autoSpaceDN w:val="0"/>
              <w:spacing w:line="440" w:lineRule="atLeast"/>
              <w:jc w:val="center"/>
              <w:textAlignment w:val="center"/>
              <w:rPr>
                <w:rFonts w:eastAsia="方正仿宋简体"/>
                <w:sz w:val="24"/>
                <w:szCs w:val="24"/>
              </w:rPr>
            </w:pPr>
            <w:r>
              <w:rPr>
                <w:rFonts w:eastAsia="方正仿宋简体"/>
                <w:sz w:val="24"/>
                <w:szCs w:val="24"/>
              </w:rPr>
              <w:t>15860868108</w:t>
            </w:r>
          </w:p>
        </w:tc>
      </w:tr>
      <w:tr w14:paraId="611E3821">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58A7775">
            <w:pPr>
              <w:spacing w:line="440" w:lineRule="atLeast"/>
              <w:jc w:val="center"/>
              <w:rPr>
                <w:rFonts w:eastAsia="方正仿宋简体"/>
                <w:sz w:val="24"/>
                <w:szCs w:val="24"/>
              </w:rPr>
            </w:pPr>
            <w:r>
              <w:rPr>
                <w:rFonts w:eastAsia="方正仿宋简体"/>
                <w:sz w:val="24"/>
                <w:szCs w:val="24"/>
              </w:rPr>
              <w:t>13</w:t>
            </w:r>
          </w:p>
        </w:tc>
        <w:tc>
          <w:tcPr>
            <w:tcW w:w="3162" w:type="dxa"/>
            <w:tcBorders>
              <w:top w:val="single" w:color="auto" w:sz="4" w:space="0"/>
              <w:left w:val="nil"/>
              <w:bottom w:val="single" w:color="auto" w:sz="4" w:space="0"/>
              <w:right w:val="single" w:color="auto" w:sz="4" w:space="0"/>
            </w:tcBorders>
            <w:noWrap/>
            <w:vAlign w:val="center"/>
          </w:tcPr>
          <w:p w14:paraId="67F3BF9F">
            <w:pPr>
              <w:spacing w:line="440" w:lineRule="atLeast"/>
              <w:jc w:val="center"/>
              <w:rPr>
                <w:rFonts w:eastAsia="方正仿宋简体"/>
                <w:sz w:val="24"/>
                <w:szCs w:val="24"/>
              </w:rPr>
            </w:pPr>
            <w:r>
              <w:rPr>
                <w:rFonts w:eastAsia="方正仿宋简体"/>
                <w:sz w:val="24"/>
                <w:szCs w:val="24"/>
              </w:rPr>
              <w:t>县安监局</w:t>
            </w:r>
          </w:p>
        </w:tc>
        <w:tc>
          <w:tcPr>
            <w:tcW w:w="1298" w:type="dxa"/>
            <w:tcBorders>
              <w:top w:val="single" w:color="auto" w:sz="4" w:space="0"/>
              <w:left w:val="nil"/>
              <w:bottom w:val="single" w:color="auto" w:sz="4" w:space="0"/>
              <w:right w:val="single" w:color="auto" w:sz="4" w:space="0"/>
            </w:tcBorders>
            <w:vAlign w:val="center"/>
          </w:tcPr>
          <w:p w14:paraId="1A9B0BB9">
            <w:pPr>
              <w:autoSpaceDE w:val="0"/>
              <w:autoSpaceDN w:val="0"/>
              <w:spacing w:line="440" w:lineRule="atLeast"/>
              <w:jc w:val="center"/>
              <w:textAlignment w:val="center"/>
              <w:rPr>
                <w:rFonts w:eastAsia="方正仿宋简体"/>
                <w:sz w:val="24"/>
                <w:szCs w:val="24"/>
              </w:rPr>
            </w:pPr>
            <w:r>
              <w:rPr>
                <w:rFonts w:eastAsia="方正仿宋简体"/>
                <w:sz w:val="24"/>
                <w:szCs w:val="24"/>
              </w:rPr>
              <w:t>黄木儿</w:t>
            </w:r>
          </w:p>
        </w:tc>
        <w:tc>
          <w:tcPr>
            <w:tcW w:w="1674" w:type="dxa"/>
            <w:tcBorders>
              <w:top w:val="single" w:color="auto" w:sz="4" w:space="0"/>
              <w:left w:val="single" w:color="auto" w:sz="4" w:space="0"/>
              <w:bottom w:val="single" w:color="auto" w:sz="4" w:space="0"/>
              <w:right w:val="single" w:color="auto" w:sz="4" w:space="0"/>
            </w:tcBorders>
            <w:vAlign w:val="center"/>
          </w:tcPr>
          <w:p w14:paraId="24640FA3">
            <w:pPr>
              <w:spacing w:line="440" w:lineRule="atLeast"/>
              <w:jc w:val="center"/>
              <w:rPr>
                <w:rFonts w:eastAsia="方正仿宋简体"/>
                <w:sz w:val="24"/>
                <w:szCs w:val="24"/>
              </w:rPr>
            </w:pPr>
            <w:r>
              <w:rPr>
                <w:rFonts w:eastAsia="方正仿宋简体"/>
                <w:sz w:val="24"/>
                <w:szCs w:val="24"/>
              </w:rPr>
              <w:t>副局长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348CDB5C">
            <w:pPr>
              <w:autoSpaceDE w:val="0"/>
              <w:autoSpaceDN w:val="0"/>
              <w:spacing w:line="440" w:lineRule="atLeast"/>
              <w:jc w:val="center"/>
              <w:textAlignment w:val="center"/>
              <w:rPr>
                <w:rFonts w:eastAsia="方正仿宋简体"/>
                <w:sz w:val="24"/>
                <w:szCs w:val="24"/>
              </w:rPr>
            </w:pPr>
            <w:r>
              <w:rPr>
                <w:rFonts w:eastAsia="方正仿宋简体"/>
                <w:sz w:val="24"/>
                <w:szCs w:val="24"/>
              </w:rPr>
              <w:t>13605974430</w:t>
            </w:r>
          </w:p>
        </w:tc>
      </w:tr>
      <w:tr w14:paraId="41E1978A">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07D8D2A8">
            <w:pPr>
              <w:spacing w:line="440" w:lineRule="atLeast"/>
              <w:jc w:val="center"/>
              <w:rPr>
                <w:rFonts w:eastAsia="方正仿宋简体"/>
                <w:sz w:val="24"/>
                <w:szCs w:val="24"/>
              </w:rPr>
            </w:pPr>
            <w:r>
              <w:rPr>
                <w:rFonts w:eastAsia="方正仿宋简体"/>
                <w:sz w:val="24"/>
                <w:szCs w:val="24"/>
              </w:rPr>
              <w:t>14</w:t>
            </w:r>
          </w:p>
        </w:tc>
        <w:tc>
          <w:tcPr>
            <w:tcW w:w="3162" w:type="dxa"/>
            <w:tcBorders>
              <w:top w:val="nil"/>
              <w:left w:val="nil"/>
              <w:bottom w:val="single" w:color="auto" w:sz="4" w:space="0"/>
              <w:right w:val="single" w:color="auto" w:sz="4" w:space="0"/>
            </w:tcBorders>
            <w:noWrap/>
            <w:vAlign w:val="center"/>
          </w:tcPr>
          <w:p w14:paraId="1B851AD9">
            <w:pPr>
              <w:spacing w:line="440" w:lineRule="atLeast"/>
              <w:jc w:val="center"/>
              <w:rPr>
                <w:rFonts w:eastAsia="方正仿宋简体"/>
                <w:sz w:val="24"/>
                <w:szCs w:val="24"/>
              </w:rPr>
            </w:pPr>
            <w:r>
              <w:rPr>
                <w:rFonts w:eastAsia="方正仿宋简体"/>
                <w:sz w:val="24"/>
                <w:szCs w:val="24"/>
              </w:rPr>
              <w:t>县林业局</w:t>
            </w:r>
          </w:p>
        </w:tc>
        <w:tc>
          <w:tcPr>
            <w:tcW w:w="1298" w:type="dxa"/>
            <w:tcBorders>
              <w:top w:val="nil"/>
              <w:left w:val="nil"/>
              <w:bottom w:val="single" w:color="auto" w:sz="4" w:space="0"/>
              <w:right w:val="single" w:color="auto" w:sz="4" w:space="0"/>
            </w:tcBorders>
            <w:vAlign w:val="center"/>
          </w:tcPr>
          <w:p w14:paraId="232643AA">
            <w:pPr>
              <w:spacing w:line="440" w:lineRule="atLeast"/>
              <w:jc w:val="center"/>
              <w:rPr>
                <w:rFonts w:eastAsia="方正仿宋简体"/>
                <w:sz w:val="24"/>
                <w:szCs w:val="24"/>
              </w:rPr>
            </w:pPr>
            <w:r>
              <w:rPr>
                <w:rFonts w:eastAsia="方正仿宋简体"/>
                <w:sz w:val="24"/>
                <w:szCs w:val="24"/>
              </w:rPr>
              <w:t>刘爱国</w:t>
            </w:r>
          </w:p>
        </w:tc>
        <w:tc>
          <w:tcPr>
            <w:tcW w:w="1674" w:type="dxa"/>
            <w:tcBorders>
              <w:top w:val="nil"/>
              <w:left w:val="single" w:color="auto" w:sz="4" w:space="0"/>
              <w:bottom w:val="single" w:color="auto" w:sz="4" w:space="0"/>
              <w:right w:val="single" w:color="auto" w:sz="4" w:space="0"/>
            </w:tcBorders>
            <w:vAlign w:val="center"/>
          </w:tcPr>
          <w:p w14:paraId="0DAEC837">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3D0575FB">
            <w:pPr>
              <w:spacing w:line="440" w:lineRule="atLeast"/>
              <w:jc w:val="center"/>
              <w:rPr>
                <w:rFonts w:eastAsia="方正仿宋简体"/>
                <w:sz w:val="24"/>
                <w:szCs w:val="24"/>
              </w:rPr>
            </w:pPr>
            <w:r>
              <w:rPr>
                <w:rFonts w:eastAsia="方正仿宋简体"/>
                <w:sz w:val="24"/>
                <w:szCs w:val="24"/>
              </w:rPr>
              <w:t>13906083854</w:t>
            </w:r>
          </w:p>
        </w:tc>
      </w:tr>
      <w:tr w14:paraId="632B522D">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72D31887">
            <w:pPr>
              <w:spacing w:line="440" w:lineRule="atLeast"/>
              <w:jc w:val="center"/>
              <w:rPr>
                <w:rFonts w:eastAsia="方正仿宋简体"/>
                <w:sz w:val="24"/>
                <w:szCs w:val="24"/>
              </w:rPr>
            </w:pPr>
            <w:r>
              <w:rPr>
                <w:rFonts w:eastAsia="方正仿宋简体"/>
                <w:sz w:val="24"/>
                <w:szCs w:val="24"/>
              </w:rPr>
              <w:t>15</w:t>
            </w:r>
          </w:p>
        </w:tc>
        <w:tc>
          <w:tcPr>
            <w:tcW w:w="3162" w:type="dxa"/>
            <w:tcBorders>
              <w:top w:val="nil"/>
              <w:left w:val="nil"/>
              <w:bottom w:val="single" w:color="auto" w:sz="4" w:space="0"/>
              <w:right w:val="single" w:color="auto" w:sz="4" w:space="0"/>
            </w:tcBorders>
            <w:noWrap/>
            <w:vAlign w:val="center"/>
          </w:tcPr>
          <w:p w14:paraId="7116B0A3">
            <w:pPr>
              <w:spacing w:line="440" w:lineRule="atLeast"/>
              <w:jc w:val="center"/>
              <w:rPr>
                <w:rFonts w:eastAsia="方正仿宋简体"/>
                <w:sz w:val="24"/>
                <w:szCs w:val="24"/>
              </w:rPr>
            </w:pPr>
            <w:r>
              <w:rPr>
                <w:rFonts w:eastAsia="方正仿宋简体"/>
                <w:sz w:val="24"/>
                <w:szCs w:val="24"/>
              </w:rPr>
              <w:t>国土资源局</w:t>
            </w:r>
          </w:p>
        </w:tc>
        <w:tc>
          <w:tcPr>
            <w:tcW w:w="1298" w:type="dxa"/>
            <w:tcBorders>
              <w:top w:val="nil"/>
              <w:left w:val="nil"/>
              <w:bottom w:val="single" w:color="auto" w:sz="4" w:space="0"/>
              <w:right w:val="single" w:color="auto" w:sz="4" w:space="0"/>
            </w:tcBorders>
            <w:vAlign w:val="center"/>
          </w:tcPr>
          <w:p w14:paraId="6BEDAFA0">
            <w:pPr>
              <w:spacing w:line="440" w:lineRule="atLeast"/>
              <w:jc w:val="center"/>
              <w:rPr>
                <w:rFonts w:eastAsia="方正仿宋简体"/>
                <w:sz w:val="24"/>
                <w:szCs w:val="24"/>
              </w:rPr>
            </w:pPr>
            <w:r>
              <w:rPr>
                <w:rFonts w:eastAsia="方正仿宋简体"/>
                <w:sz w:val="24"/>
                <w:szCs w:val="24"/>
              </w:rPr>
              <w:t>黄家新</w:t>
            </w:r>
          </w:p>
        </w:tc>
        <w:tc>
          <w:tcPr>
            <w:tcW w:w="1674" w:type="dxa"/>
            <w:tcBorders>
              <w:top w:val="nil"/>
              <w:left w:val="single" w:color="auto" w:sz="4" w:space="0"/>
              <w:bottom w:val="single" w:color="auto" w:sz="4" w:space="0"/>
              <w:right w:val="single" w:color="auto" w:sz="4" w:space="0"/>
            </w:tcBorders>
            <w:vAlign w:val="center"/>
          </w:tcPr>
          <w:p w14:paraId="1ADCE768">
            <w:pPr>
              <w:spacing w:line="440" w:lineRule="atLeast"/>
              <w:jc w:val="center"/>
              <w:rPr>
                <w:rFonts w:eastAsia="方正仿宋简体"/>
                <w:sz w:val="24"/>
                <w:szCs w:val="24"/>
              </w:rPr>
            </w:pPr>
            <w:r>
              <w:rPr>
                <w:rFonts w:eastAsia="方正仿宋简体"/>
                <w:sz w:val="24"/>
                <w:szCs w:val="24"/>
              </w:rPr>
              <w:t>正科级干部</w:t>
            </w:r>
          </w:p>
        </w:tc>
        <w:tc>
          <w:tcPr>
            <w:tcW w:w="1821" w:type="dxa"/>
            <w:tcBorders>
              <w:top w:val="nil"/>
              <w:left w:val="single" w:color="auto" w:sz="4" w:space="0"/>
              <w:bottom w:val="single" w:color="auto" w:sz="4" w:space="0"/>
              <w:right w:val="single" w:color="auto" w:sz="4" w:space="0"/>
            </w:tcBorders>
            <w:noWrap/>
            <w:vAlign w:val="center"/>
          </w:tcPr>
          <w:p w14:paraId="58086C34">
            <w:pPr>
              <w:spacing w:line="440" w:lineRule="atLeast"/>
              <w:jc w:val="center"/>
              <w:rPr>
                <w:rFonts w:eastAsia="方正仿宋简体"/>
                <w:sz w:val="24"/>
                <w:szCs w:val="24"/>
              </w:rPr>
            </w:pPr>
            <w:r>
              <w:rPr>
                <w:rFonts w:eastAsia="方正仿宋简体"/>
                <w:sz w:val="24"/>
                <w:szCs w:val="24"/>
              </w:rPr>
              <w:t>13950999198</w:t>
            </w:r>
          </w:p>
        </w:tc>
      </w:tr>
      <w:tr w14:paraId="6FF68188">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4EF1F85">
            <w:pPr>
              <w:spacing w:line="440" w:lineRule="atLeast"/>
              <w:jc w:val="center"/>
              <w:rPr>
                <w:rFonts w:eastAsia="方正仿宋简体"/>
                <w:sz w:val="24"/>
                <w:szCs w:val="24"/>
              </w:rPr>
            </w:pPr>
            <w:r>
              <w:rPr>
                <w:rFonts w:eastAsia="方正仿宋简体"/>
                <w:sz w:val="24"/>
                <w:szCs w:val="24"/>
              </w:rPr>
              <w:t>16</w:t>
            </w:r>
          </w:p>
        </w:tc>
        <w:tc>
          <w:tcPr>
            <w:tcW w:w="3162" w:type="dxa"/>
            <w:tcBorders>
              <w:top w:val="single" w:color="auto" w:sz="4" w:space="0"/>
              <w:left w:val="nil"/>
              <w:bottom w:val="single" w:color="auto" w:sz="4" w:space="0"/>
              <w:right w:val="single" w:color="auto" w:sz="4" w:space="0"/>
            </w:tcBorders>
            <w:noWrap/>
            <w:vAlign w:val="center"/>
          </w:tcPr>
          <w:p w14:paraId="55D76DA9">
            <w:pPr>
              <w:spacing w:line="440" w:lineRule="atLeast"/>
              <w:jc w:val="center"/>
              <w:rPr>
                <w:rFonts w:eastAsia="方正仿宋简体"/>
                <w:sz w:val="24"/>
                <w:szCs w:val="24"/>
              </w:rPr>
            </w:pPr>
            <w:r>
              <w:rPr>
                <w:rFonts w:eastAsia="方正仿宋简体"/>
                <w:sz w:val="24"/>
                <w:szCs w:val="24"/>
              </w:rPr>
              <w:t>县气象局</w:t>
            </w:r>
          </w:p>
        </w:tc>
        <w:tc>
          <w:tcPr>
            <w:tcW w:w="1298" w:type="dxa"/>
            <w:tcBorders>
              <w:top w:val="single" w:color="auto" w:sz="4" w:space="0"/>
              <w:left w:val="nil"/>
              <w:bottom w:val="single" w:color="auto" w:sz="4" w:space="0"/>
              <w:right w:val="single" w:color="auto" w:sz="4" w:space="0"/>
            </w:tcBorders>
            <w:vAlign w:val="center"/>
          </w:tcPr>
          <w:p w14:paraId="578C8EB1">
            <w:pPr>
              <w:autoSpaceDE w:val="0"/>
              <w:autoSpaceDN w:val="0"/>
              <w:spacing w:line="440" w:lineRule="atLeast"/>
              <w:jc w:val="center"/>
              <w:textAlignment w:val="center"/>
              <w:rPr>
                <w:rFonts w:eastAsia="方正仿宋简体"/>
                <w:sz w:val="24"/>
                <w:szCs w:val="24"/>
              </w:rPr>
            </w:pPr>
            <w:r>
              <w:rPr>
                <w:rFonts w:eastAsia="方正仿宋简体"/>
                <w:sz w:val="24"/>
                <w:szCs w:val="24"/>
              </w:rPr>
              <w:t>林慧芳</w:t>
            </w:r>
          </w:p>
        </w:tc>
        <w:tc>
          <w:tcPr>
            <w:tcW w:w="1674" w:type="dxa"/>
            <w:tcBorders>
              <w:top w:val="single" w:color="auto" w:sz="4" w:space="0"/>
              <w:left w:val="single" w:color="auto" w:sz="4" w:space="0"/>
              <w:bottom w:val="single" w:color="auto" w:sz="4" w:space="0"/>
              <w:right w:val="single" w:color="auto" w:sz="4" w:space="0"/>
            </w:tcBorders>
            <w:vAlign w:val="center"/>
          </w:tcPr>
          <w:p w14:paraId="2EF6F763">
            <w:pPr>
              <w:autoSpaceDE w:val="0"/>
              <w:autoSpaceDN w:val="0"/>
              <w:spacing w:line="440" w:lineRule="atLeast"/>
              <w:jc w:val="center"/>
              <w:textAlignment w:val="center"/>
              <w:rPr>
                <w:rFonts w:eastAsia="方正仿宋简体"/>
                <w:sz w:val="24"/>
                <w:szCs w:val="24"/>
              </w:rPr>
            </w:pPr>
            <w:r>
              <w:rPr>
                <w:rFonts w:eastAsia="方正仿宋简体"/>
                <w:sz w:val="24"/>
                <w:szCs w:val="24"/>
              </w:rPr>
              <w:t>气象台台长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09A317C6">
            <w:pPr>
              <w:autoSpaceDE w:val="0"/>
              <w:autoSpaceDN w:val="0"/>
              <w:spacing w:line="440" w:lineRule="atLeast"/>
              <w:jc w:val="center"/>
              <w:textAlignment w:val="center"/>
              <w:rPr>
                <w:rFonts w:eastAsia="方正仿宋简体"/>
                <w:sz w:val="24"/>
                <w:szCs w:val="24"/>
              </w:rPr>
            </w:pPr>
            <w:r>
              <w:rPr>
                <w:rFonts w:eastAsia="方正仿宋简体"/>
                <w:sz w:val="24"/>
                <w:szCs w:val="24"/>
              </w:rPr>
              <w:t>13306985100</w:t>
            </w:r>
          </w:p>
        </w:tc>
      </w:tr>
      <w:tr w14:paraId="5D9D521D">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4F2D17AD">
            <w:pPr>
              <w:spacing w:line="440" w:lineRule="atLeast"/>
              <w:jc w:val="center"/>
              <w:rPr>
                <w:rFonts w:eastAsia="方正仿宋简体"/>
                <w:sz w:val="24"/>
                <w:szCs w:val="24"/>
              </w:rPr>
            </w:pPr>
            <w:r>
              <w:rPr>
                <w:rFonts w:eastAsia="方正仿宋简体"/>
                <w:sz w:val="24"/>
                <w:szCs w:val="24"/>
              </w:rPr>
              <w:t>17</w:t>
            </w:r>
          </w:p>
        </w:tc>
        <w:tc>
          <w:tcPr>
            <w:tcW w:w="3162" w:type="dxa"/>
            <w:tcBorders>
              <w:top w:val="nil"/>
              <w:left w:val="nil"/>
              <w:bottom w:val="single" w:color="auto" w:sz="4" w:space="0"/>
              <w:right w:val="single" w:color="auto" w:sz="4" w:space="0"/>
            </w:tcBorders>
            <w:noWrap/>
            <w:vAlign w:val="center"/>
          </w:tcPr>
          <w:p w14:paraId="003FAFF7">
            <w:pPr>
              <w:spacing w:line="440" w:lineRule="atLeast"/>
              <w:jc w:val="center"/>
              <w:rPr>
                <w:rFonts w:eastAsia="方正仿宋简体"/>
                <w:sz w:val="24"/>
                <w:szCs w:val="24"/>
              </w:rPr>
            </w:pPr>
            <w:r>
              <w:rPr>
                <w:rFonts w:eastAsia="方正仿宋简体"/>
                <w:sz w:val="24"/>
                <w:szCs w:val="24"/>
              </w:rPr>
              <w:t>县民政局</w:t>
            </w:r>
          </w:p>
        </w:tc>
        <w:tc>
          <w:tcPr>
            <w:tcW w:w="1298" w:type="dxa"/>
            <w:tcBorders>
              <w:top w:val="nil"/>
              <w:left w:val="nil"/>
              <w:bottom w:val="single" w:color="auto" w:sz="4" w:space="0"/>
              <w:right w:val="single" w:color="auto" w:sz="4" w:space="0"/>
            </w:tcBorders>
            <w:vAlign w:val="center"/>
          </w:tcPr>
          <w:p w14:paraId="386C9370">
            <w:pPr>
              <w:spacing w:line="440" w:lineRule="atLeast"/>
              <w:jc w:val="center"/>
              <w:rPr>
                <w:rFonts w:eastAsia="方正仿宋简体"/>
                <w:sz w:val="24"/>
                <w:szCs w:val="24"/>
              </w:rPr>
            </w:pPr>
            <w:r>
              <w:rPr>
                <w:rFonts w:eastAsia="方正仿宋简体"/>
                <w:sz w:val="24"/>
                <w:szCs w:val="24"/>
              </w:rPr>
              <w:t>胡启柳</w:t>
            </w:r>
          </w:p>
        </w:tc>
        <w:tc>
          <w:tcPr>
            <w:tcW w:w="1674" w:type="dxa"/>
            <w:tcBorders>
              <w:top w:val="nil"/>
              <w:left w:val="single" w:color="auto" w:sz="4" w:space="0"/>
              <w:bottom w:val="single" w:color="auto" w:sz="4" w:space="0"/>
              <w:right w:val="single" w:color="auto" w:sz="4" w:space="0"/>
            </w:tcBorders>
            <w:vAlign w:val="center"/>
          </w:tcPr>
          <w:p w14:paraId="2ADD51E8">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367BA184">
            <w:pPr>
              <w:spacing w:line="440" w:lineRule="atLeast"/>
              <w:jc w:val="center"/>
              <w:rPr>
                <w:rFonts w:eastAsia="方正仿宋简体"/>
                <w:sz w:val="24"/>
                <w:szCs w:val="24"/>
              </w:rPr>
            </w:pPr>
            <w:r>
              <w:rPr>
                <w:rFonts w:eastAsia="方正仿宋简体"/>
                <w:sz w:val="24"/>
                <w:szCs w:val="24"/>
              </w:rPr>
              <w:t>13906989349</w:t>
            </w:r>
          </w:p>
        </w:tc>
      </w:tr>
      <w:tr w14:paraId="0499A897">
        <w:tblPrEx>
          <w:tblCellMar>
            <w:top w:w="0" w:type="dxa"/>
            <w:left w:w="108" w:type="dxa"/>
            <w:bottom w:w="0" w:type="dxa"/>
            <w:right w:w="108" w:type="dxa"/>
          </w:tblCellMar>
        </w:tblPrEx>
        <w:trPr>
          <w:trHeight w:val="298" w:hRule="atLeast"/>
          <w:jc w:val="center"/>
        </w:trPr>
        <w:tc>
          <w:tcPr>
            <w:tcW w:w="864" w:type="dxa"/>
            <w:tcBorders>
              <w:top w:val="nil"/>
              <w:left w:val="single" w:color="auto" w:sz="4" w:space="0"/>
              <w:bottom w:val="single" w:color="auto" w:sz="4" w:space="0"/>
              <w:right w:val="single" w:color="auto" w:sz="4" w:space="0"/>
            </w:tcBorders>
            <w:vAlign w:val="center"/>
          </w:tcPr>
          <w:p w14:paraId="14FD5637">
            <w:pPr>
              <w:spacing w:line="440" w:lineRule="atLeast"/>
              <w:jc w:val="center"/>
              <w:rPr>
                <w:rFonts w:eastAsia="方正仿宋简体"/>
                <w:sz w:val="24"/>
                <w:szCs w:val="24"/>
              </w:rPr>
            </w:pPr>
            <w:r>
              <w:rPr>
                <w:rFonts w:eastAsia="方正仿宋简体"/>
                <w:sz w:val="24"/>
                <w:szCs w:val="24"/>
              </w:rPr>
              <w:t>18</w:t>
            </w:r>
          </w:p>
        </w:tc>
        <w:tc>
          <w:tcPr>
            <w:tcW w:w="3162" w:type="dxa"/>
            <w:tcBorders>
              <w:top w:val="nil"/>
              <w:left w:val="nil"/>
              <w:bottom w:val="single" w:color="auto" w:sz="4" w:space="0"/>
              <w:right w:val="single" w:color="auto" w:sz="4" w:space="0"/>
            </w:tcBorders>
            <w:noWrap/>
            <w:vAlign w:val="center"/>
          </w:tcPr>
          <w:p w14:paraId="3D082B32">
            <w:pPr>
              <w:spacing w:line="440" w:lineRule="atLeast"/>
              <w:jc w:val="center"/>
              <w:rPr>
                <w:rFonts w:eastAsia="方正仿宋简体"/>
                <w:sz w:val="24"/>
                <w:szCs w:val="24"/>
              </w:rPr>
            </w:pPr>
            <w:r>
              <w:rPr>
                <w:rFonts w:eastAsia="方正仿宋简体"/>
                <w:sz w:val="24"/>
                <w:szCs w:val="24"/>
              </w:rPr>
              <w:t>县监察委员会</w:t>
            </w:r>
          </w:p>
        </w:tc>
        <w:tc>
          <w:tcPr>
            <w:tcW w:w="1298" w:type="dxa"/>
            <w:tcBorders>
              <w:top w:val="nil"/>
              <w:left w:val="nil"/>
              <w:bottom w:val="single" w:color="auto" w:sz="4" w:space="0"/>
              <w:right w:val="single" w:color="auto" w:sz="4" w:space="0"/>
            </w:tcBorders>
            <w:vAlign w:val="center"/>
          </w:tcPr>
          <w:p w14:paraId="435298C8">
            <w:pPr>
              <w:spacing w:line="440" w:lineRule="atLeast"/>
              <w:jc w:val="center"/>
              <w:rPr>
                <w:rFonts w:eastAsia="方正仿宋简体"/>
                <w:sz w:val="24"/>
                <w:szCs w:val="24"/>
              </w:rPr>
            </w:pPr>
            <w:r>
              <w:rPr>
                <w:rFonts w:eastAsia="方正仿宋简体"/>
                <w:sz w:val="24"/>
                <w:szCs w:val="24"/>
              </w:rPr>
              <w:t>陈绍球</w:t>
            </w:r>
          </w:p>
        </w:tc>
        <w:tc>
          <w:tcPr>
            <w:tcW w:w="1674" w:type="dxa"/>
            <w:tcBorders>
              <w:top w:val="nil"/>
              <w:left w:val="single" w:color="auto" w:sz="4" w:space="0"/>
              <w:bottom w:val="single" w:color="auto" w:sz="4" w:space="0"/>
              <w:right w:val="single" w:color="auto" w:sz="4" w:space="0"/>
            </w:tcBorders>
            <w:vAlign w:val="center"/>
          </w:tcPr>
          <w:p w14:paraId="2CE2BE5F">
            <w:pPr>
              <w:spacing w:line="360" w:lineRule="exact"/>
              <w:jc w:val="center"/>
              <w:rPr>
                <w:rFonts w:eastAsia="方正仿宋简体"/>
                <w:sz w:val="24"/>
                <w:szCs w:val="24"/>
              </w:rPr>
            </w:pPr>
            <w:r>
              <w:rPr>
                <w:rFonts w:eastAsia="方正仿宋简体"/>
                <w:sz w:val="24"/>
                <w:szCs w:val="24"/>
              </w:rPr>
              <w:t>县纪委副书记、县监委副主任</w:t>
            </w:r>
          </w:p>
        </w:tc>
        <w:tc>
          <w:tcPr>
            <w:tcW w:w="1821" w:type="dxa"/>
            <w:tcBorders>
              <w:top w:val="nil"/>
              <w:left w:val="single" w:color="auto" w:sz="4" w:space="0"/>
              <w:bottom w:val="single" w:color="auto" w:sz="4" w:space="0"/>
              <w:right w:val="single" w:color="auto" w:sz="4" w:space="0"/>
            </w:tcBorders>
            <w:noWrap/>
            <w:vAlign w:val="center"/>
          </w:tcPr>
          <w:p w14:paraId="6AD84A32">
            <w:pPr>
              <w:spacing w:line="440" w:lineRule="atLeast"/>
              <w:jc w:val="center"/>
              <w:rPr>
                <w:rFonts w:eastAsia="方正仿宋简体"/>
                <w:sz w:val="24"/>
                <w:szCs w:val="24"/>
              </w:rPr>
            </w:pPr>
            <w:r>
              <w:rPr>
                <w:rFonts w:eastAsia="方正仿宋简体"/>
                <w:sz w:val="24"/>
                <w:szCs w:val="24"/>
              </w:rPr>
              <w:t>13605969642</w:t>
            </w:r>
          </w:p>
        </w:tc>
      </w:tr>
      <w:tr w14:paraId="7BA11E3F">
        <w:tblPrEx>
          <w:tblCellMar>
            <w:top w:w="0" w:type="dxa"/>
            <w:left w:w="108" w:type="dxa"/>
            <w:bottom w:w="0" w:type="dxa"/>
            <w:right w:w="108" w:type="dxa"/>
          </w:tblCellMar>
        </w:tblPrEx>
        <w:trPr>
          <w:trHeight w:val="495" w:hRule="atLeast"/>
          <w:jc w:val="center"/>
        </w:trPr>
        <w:tc>
          <w:tcPr>
            <w:tcW w:w="864" w:type="dxa"/>
            <w:tcBorders>
              <w:top w:val="nil"/>
              <w:left w:val="single" w:color="auto" w:sz="4" w:space="0"/>
              <w:bottom w:val="single" w:color="auto" w:sz="4" w:space="0"/>
              <w:right w:val="single" w:color="auto" w:sz="4" w:space="0"/>
            </w:tcBorders>
            <w:vAlign w:val="center"/>
          </w:tcPr>
          <w:p w14:paraId="63DC476D">
            <w:pPr>
              <w:spacing w:line="440" w:lineRule="atLeast"/>
              <w:jc w:val="center"/>
              <w:rPr>
                <w:rFonts w:eastAsia="方正仿宋简体"/>
                <w:sz w:val="24"/>
                <w:szCs w:val="24"/>
              </w:rPr>
            </w:pPr>
            <w:r>
              <w:rPr>
                <w:rFonts w:eastAsia="方正仿宋简体"/>
                <w:sz w:val="24"/>
                <w:szCs w:val="24"/>
              </w:rPr>
              <w:t>19</w:t>
            </w:r>
          </w:p>
        </w:tc>
        <w:tc>
          <w:tcPr>
            <w:tcW w:w="3162" w:type="dxa"/>
            <w:tcBorders>
              <w:top w:val="nil"/>
              <w:left w:val="nil"/>
              <w:bottom w:val="single" w:color="auto" w:sz="4" w:space="0"/>
              <w:right w:val="single" w:color="auto" w:sz="4" w:space="0"/>
            </w:tcBorders>
            <w:noWrap/>
            <w:vAlign w:val="center"/>
          </w:tcPr>
          <w:p w14:paraId="45D1C37B">
            <w:pPr>
              <w:spacing w:line="440" w:lineRule="atLeast"/>
              <w:jc w:val="center"/>
              <w:rPr>
                <w:rFonts w:eastAsia="方正仿宋简体"/>
                <w:sz w:val="24"/>
                <w:szCs w:val="24"/>
              </w:rPr>
            </w:pPr>
            <w:r>
              <w:rPr>
                <w:rFonts w:eastAsia="方正仿宋简体"/>
                <w:sz w:val="24"/>
                <w:szCs w:val="24"/>
              </w:rPr>
              <w:t>县环保局</w:t>
            </w:r>
          </w:p>
        </w:tc>
        <w:tc>
          <w:tcPr>
            <w:tcW w:w="1298" w:type="dxa"/>
            <w:tcBorders>
              <w:top w:val="nil"/>
              <w:left w:val="nil"/>
              <w:bottom w:val="single" w:color="auto" w:sz="4" w:space="0"/>
              <w:right w:val="single" w:color="auto" w:sz="4" w:space="0"/>
            </w:tcBorders>
            <w:vAlign w:val="center"/>
          </w:tcPr>
          <w:p w14:paraId="7C68ED2B">
            <w:pPr>
              <w:spacing w:line="440" w:lineRule="atLeast"/>
              <w:jc w:val="center"/>
              <w:rPr>
                <w:rFonts w:eastAsia="方正仿宋简体"/>
                <w:sz w:val="24"/>
                <w:szCs w:val="24"/>
              </w:rPr>
            </w:pPr>
            <w:r>
              <w:rPr>
                <w:rFonts w:eastAsia="方正仿宋简体"/>
                <w:sz w:val="24"/>
                <w:szCs w:val="24"/>
              </w:rPr>
              <w:t>陈应寿</w:t>
            </w:r>
          </w:p>
        </w:tc>
        <w:tc>
          <w:tcPr>
            <w:tcW w:w="1674" w:type="dxa"/>
            <w:tcBorders>
              <w:top w:val="nil"/>
              <w:left w:val="single" w:color="auto" w:sz="4" w:space="0"/>
              <w:bottom w:val="single" w:color="auto" w:sz="4" w:space="0"/>
              <w:right w:val="single" w:color="auto" w:sz="4" w:space="0"/>
            </w:tcBorders>
            <w:vAlign w:val="center"/>
          </w:tcPr>
          <w:p w14:paraId="03AC4245">
            <w:pPr>
              <w:spacing w:line="440" w:lineRule="atLeast"/>
              <w:jc w:val="center"/>
              <w:rPr>
                <w:rFonts w:eastAsia="方正仿宋简体"/>
                <w:sz w:val="24"/>
                <w:szCs w:val="24"/>
              </w:rPr>
            </w:pPr>
            <w:r>
              <w:rPr>
                <w:rFonts w:eastAsia="方正仿宋简体"/>
                <w:sz w:val="24"/>
                <w:szCs w:val="24"/>
              </w:rPr>
              <w:t>副局长</w:t>
            </w:r>
          </w:p>
        </w:tc>
        <w:tc>
          <w:tcPr>
            <w:tcW w:w="1821" w:type="dxa"/>
            <w:tcBorders>
              <w:top w:val="nil"/>
              <w:left w:val="single" w:color="auto" w:sz="4" w:space="0"/>
              <w:bottom w:val="single" w:color="auto" w:sz="4" w:space="0"/>
              <w:right w:val="single" w:color="auto" w:sz="4" w:space="0"/>
            </w:tcBorders>
            <w:noWrap/>
            <w:vAlign w:val="center"/>
          </w:tcPr>
          <w:p w14:paraId="6FE2C785">
            <w:pPr>
              <w:spacing w:line="440" w:lineRule="atLeast"/>
              <w:jc w:val="center"/>
              <w:rPr>
                <w:rFonts w:eastAsia="方正仿宋简体"/>
                <w:sz w:val="24"/>
                <w:szCs w:val="24"/>
              </w:rPr>
            </w:pPr>
            <w:r>
              <w:rPr>
                <w:rFonts w:eastAsia="方正仿宋简体"/>
                <w:sz w:val="24"/>
                <w:szCs w:val="24"/>
              </w:rPr>
              <w:t>13507557059</w:t>
            </w:r>
          </w:p>
        </w:tc>
      </w:tr>
      <w:tr w14:paraId="408A1726">
        <w:tblPrEx>
          <w:tblCellMar>
            <w:top w:w="0" w:type="dxa"/>
            <w:left w:w="108" w:type="dxa"/>
            <w:bottom w:w="0" w:type="dxa"/>
            <w:right w:w="108" w:type="dxa"/>
          </w:tblCellMar>
        </w:tblPrEx>
        <w:trPr>
          <w:trHeight w:val="49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FE23136">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序号</w:t>
            </w:r>
          </w:p>
        </w:tc>
        <w:tc>
          <w:tcPr>
            <w:tcW w:w="3162" w:type="dxa"/>
            <w:tcBorders>
              <w:top w:val="single" w:color="auto" w:sz="4" w:space="0"/>
              <w:left w:val="nil"/>
              <w:bottom w:val="single" w:color="auto" w:sz="4" w:space="0"/>
              <w:right w:val="single" w:color="auto" w:sz="4" w:space="0"/>
            </w:tcBorders>
            <w:noWrap/>
            <w:vAlign w:val="center"/>
          </w:tcPr>
          <w:p w14:paraId="27C9DB29">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单位名称</w:t>
            </w:r>
          </w:p>
        </w:tc>
        <w:tc>
          <w:tcPr>
            <w:tcW w:w="1298" w:type="dxa"/>
            <w:tcBorders>
              <w:top w:val="single" w:color="auto" w:sz="4" w:space="0"/>
              <w:left w:val="nil"/>
              <w:bottom w:val="single" w:color="auto" w:sz="4" w:space="0"/>
              <w:right w:val="single" w:color="auto" w:sz="4" w:space="0"/>
            </w:tcBorders>
            <w:vAlign w:val="center"/>
          </w:tcPr>
          <w:p w14:paraId="765B02E9">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姓名</w:t>
            </w:r>
          </w:p>
        </w:tc>
        <w:tc>
          <w:tcPr>
            <w:tcW w:w="1674" w:type="dxa"/>
            <w:tcBorders>
              <w:top w:val="single" w:color="auto" w:sz="4" w:space="0"/>
              <w:left w:val="single" w:color="auto" w:sz="4" w:space="0"/>
              <w:bottom w:val="single" w:color="auto" w:sz="4" w:space="0"/>
              <w:right w:val="single" w:color="auto" w:sz="4" w:space="0"/>
            </w:tcBorders>
            <w:vAlign w:val="center"/>
          </w:tcPr>
          <w:p w14:paraId="08B57878">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职务</w:t>
            </w:r>
          </w:p>
        </w:tc>
        <w:tc>
          <w:tcPr>
            <w:tcW w:w="1821" w:type="dxa"/>
            <w:tcBorders>
              <w:top w:val="single" w:color="auto" w:sz="4" w:space="0"/>
              <w:left w:val="single" w:color="auto" w:sz="4" w:space="0"/>
              <w:bottom w:val="single" w:color="auto" w:sz="4" w:space="0"/>
              <w:right w:val="single" w:color="auto" w:sz="4" w:space="0"/>
            </w:tcBorders>
            <w:noWrap/>
            <w:vAlign w:val="center"/>
          </w:tcPr>
          <w:p w14:paraId="327D9CCC">
            <w:pPr>
              <w:spacing w:line="440" w:lineRule="atLeast"/>
              <w:jc w:val="center"/>
              <w:rPr>
                <w:rFonts w:hint="eastAsia" w:ascii="方正黑体简体" w:hAnsi="宋体" w:eastAsia="方正黑体简体"/>
                <w:sz w:val="24"/>
              </w:rPr>
            </w:pPr>
            <w:r>
              <w:rPr>
                <w:rFonts w:hint="eastAsia" w:ascii="方正黑体简体" w:hAnsi="宋体" w:eastAsia="方正黑体简体"/>
                <w:sz w:val="24"/>
              </w:rPr>
              <w:t>手机</w:t>
            </w:r>
          </w:p>
        </w:tc>
      </w:tr>
      <w:tr w14:paraId="26658C97">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62B9A70">
            <w:pPr>
              <w:spacing w:line="440" w:lineRule="atLeast"/>
              <w:jc w:val="center"/>
              <w:rPr>
                <w:rFonts w:eastAsia="方正仿宋简体"/>
                <w:sz w:val="24"/>
                <w:szCs w:val="24"/>
              </w:rPr>
            </w:pPr>
            <w:r>
              <w:rPr>
                <w:rFonts w:eastAsia="方正仿宋简体"/>
                <w:sz w:val="24"/>
                <w:szCs w:val="24"/>
              </w:rPr>
              <w:t>20</w:t>
            </w:r>
          </w:p>
        </w:tc>
        <w:tc>
          <w:tcPr>
            <w:tcW w:w="3162" w:type="dxa"/>
            <w:tcBorders>
              <w:top w:val="single" w:color="auto" w:sz="4" w:space="0"/>
              <w:left w:val="nil"/>
              <w:bottom w:val="single" w:color="auto" w:sz="4" w:space="0"/>
              <w:right w:val="single" w:color="auto" w:sz="4" w:space="0"/>
            </w:tcBorders>
            <w:noWrap/>
            <w:vAlign w:val="center"/>
          </w:tcPr>
          <w:p w14:paraId="0EF11D14">
            <w:pPr>
              <w:spacing w:line="440" w:lineRule="atLeast"/>
              <w:jc w:val="center"/>
              <w:rPr>
                <w:rFonts w:eastAsia="方正仿宋简体"/>
                <w:sz w:val="24"/>
                <w:szCs w:val="24"/>
              </w:rPr>
            </w:pPr>
            <w:r>
              <w:rPr>
                <w:rFonts w:eastAsia="方正仿宋简体"/>
                <w:sz w:val="24"/>
                <w:szCs w:val="24"/>
              </w:rPr>
              <w:t>凤岗街道</w:t>
            </w:r>
          </w:p>
        </w:tc>
        <w:tc>
          <w:tcPr>
            <w:tcW w:w="1298" w:type="dxa"/>
            <w:tcBorders>
              <w:top w:val="single" w:color="auto" w:sz="4" w:space="0"/>
              <w:left w:val="nil"/>
              <w:bottom w:val="single" w:color="auto" w:sz="4" w:space="0"/>
              <w:right w:val="single" w:color="auto" w:sz="4" w:space="0"/>
            </w:tcBorders>
            <w:vAlign w:val="center"/>
          </w:tcPr>
          <w:p w14:paraId="0ADC4957">
            <w:pPr>
              <w:spacing w:line="440" w:lineRule="atLeast"/>
              <w:jc w:val="center"/>
              <w:rPr>
                <w:rFonts w:eastAsia="方正仿宋简体"/>
                <w:sz w:val="24"/>
                <w:szCs w:val="24"/>
              </w:rPr>
            </w:pPr>
            <w:r>
              <w:rPr>
                <w:rFonts w:eastAsia="方正仿宋简体"/>
                <w:sz w:val="24"/>
                <w:szCs w:val="24"/>
              </w:rPr>
              <w:t>叶基锋</w:t>
            </w:r>
          </w:p>
        </w:tc>
        <w:tc>
          <w:tcPr>
            <w:tcW w:w="1674" w:type="dxa"/>
            <w:tcBorders>
              <w:top w:val="single" w:color="auto" w:sz="4" w:space="0"/>
              <w:left w:val="single" w:color="auto" w:sz="4" w:space="0"/>
              <w:bottom w:val="single" w:color="auto" w:sz="4" w:space="0"/>
              <w:right w:val="single" w:color="auto" w:sz="4" w:space="0"/>
            </w:tcBorders>
            <w:vAlign w:val="center"/>
          </w:tcPr>
          <w:p w14:paraId="5890A30B">
            <w:pPr>
              <w:spacing w:line="440" w:lineRule="atLeast"/>
              <w:jc w:val="center"/>
              <w:rPr>
                <w:rFonts w:eastAsia="方正仿宋简体"/>
                <w:sz w:val="24"/>
                <w:szCs w:val="24"/>
              </w:rPr>
            </w:pPr>
            <w:r>
              <w:rPr>
                <w:rFonts w:eastAsia="方正仿宋简体"/>
                <w:sz w:val="24"/>
                <w:szCs w:val="24"/>
              </w:rPr>
              <w:t>副主任</w:t>
            </w:r>
          </w:p>
        </w:tc>
        <w:tc>
          <w:tcPr>
            <w:tcW w:w="1821" w:type="dxa"/>
            <w:tcBorders>
              <w:top w:val="single" w:color="auto" w:sz="4" w:space="0"/>
              <w:left w:val="single" w:color="auto" w:sz="4" w:space="0"/>
              <w:bottom w:val="single" w:color="auto" w:sz="4" w:space="0"/>
              <w:right w:val="single" w:color="auto" w:sz="4" w:space="0"/>
            </w:tcBorders>
            <w:noWrap/>
            <w:vAlign w:val="center"/>
          </w:tcPr>
          <w:p w14:paraId="29BDE523">
            <w:pPr>
              <w:spacing w:line="440" w:lineRule="atLeast"/>
              <w:jc w:val="center"/>
              <w:rPr>
                <w:rFonts w:eastAsia="方正仿宋简体"/>
                <w:sz w:val="24"/>
                <w:szCs w:val="24"/>
              </w:rPr>
            </w:pPr>
            <w:r>
              <w:rPr>
                <w:rFonts w:eastAsia="方正仿宋简体"/>
                <w:sz w:val="24"/>
                <w:szCs w:val="24"/>
              </w:rPr>
              <w:t>13859104365</w:t>
            </w:r>
          </w:p>
        </w:tc>
      </w:tr>
      <w:tr w14:paraId="223B1753">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218783D8">
            <w:pPr>
              <w:spacing w:line="440" w:lineRule="atLeast"/>
              <w:jc w:val="center"/>
              <w:rPr>
                <w:rFonts w:eastAsia="方正仿宋简体"/>
                <w:sz w:val="24"/>
                <w:szCs w:val="24"/>
              </w:rPr>
            </w:pPr>
            <w:r>
              <w:rPr>
                <w:rFonts w:eastAsia="方正仿宋简体"/>
                <w:sz w:val="24"/>
                <w:szCs w:val="24"/>
              </w:rPr>
              <w:t>21</w:t>
            </w:r>
          </w:p>
        </w:tc>
        <w:tc>
          <w:tcPr>
            <w:tcW w:w="3162" w:type="dxa"/>
            <w:tcBorders>
              <w:top w:val="nil"/>
              <w:left w:val="nil"/>
              <w:bottom w:val="single" w:color="auto" w:sz="4" w:space="0"/>
              <w:right w:val="single" w:color="auto" w:sz="4" w:space="0"/>
            </w:tcBorders>
            <w:noWrap/>
            <w:vAlign w:val="center"/>
          </w:tcPr>
          <w:p w14:paraId="08C7E11E">
            <w:pPr>
              <w:spacing w:line="440" w:lineRule="atLeast"/>
              <w:jc w:val="center"/>
              <w:rPr>
                <w:rFonts w:eastAsia="方正仿宋简体"/>
                <w:sz w:val="24"/>
                <w:szCs w:val="24"/>
              </w:rPr>
            </w:pPr>
            <w:r>
              <w:rPr>
                <w:rFonts w:eastAsia="方正仿宋简体"/>
                <w:sz w:val="24"/>
                <w:szCs w:val="24"/>
              </w:rPr>
              <w:t>虬江街道</w:t>
            </w:r>
          </w:p>
        </w:tc>
        <w:tc>
          <w:tcPr>
            <w:tcW w:w="1298" w:type="dxa"/>
            <w:tcBorders>
              <w:top w:val="nil"/>
              <w:left w:val="nil"/>
              <w:bottom w:val="single" w:color="auto" w:sz="4" w:space="0"/>
              <w:right w:val="single" w:color="auto" w:sz="4" w:space="0"/>
            </w:tcBorders>
            <w:vAlign w:val="center"/>
          </w:tcPr>
          <w:p w14:paraId="2507CB6E">
            <w:pPr>
              <w:spacing w:line="440" w:lineRule="atLeast"/>
              <w:jc w:val="center"/>
              <w:rPr>
                <w:rFonts w:eastAsia="方正仿宋简体"/>
                <w:sz w:val="24"/>
                <w:szCs w:val="24"/>
              </w:rPr>
            </w:pPr>
            <w:r>
              <w:rPr>
                <w:rFonts w:eastAsia="方正仿宋简体"/>
                <w:sz w:val="24"/>
                <w:szCs w:val="24"/>
              </w:rPr>
              <w:t>朱贵钊</w:t>
            </w:r>
          </w:p>
        </w:tc>
        <w:tc>
          <w:tcPr>
            <w:tcW w:w="1674" w:type="dxa"/>
            <w:tcBorders>
              <w:top w:val="nil"/>
              <w:left w:val="single" w:color="auto" w:sz="4" w:space="0"/>
              <w:bottom w:val="single" w:color="auto" w:sz="4" w:space="0"/>
              <w:right w:val="single" w:color="auto" w:sz="4" w:space="0"/>
            </w:tcBorders>
            <w:vAlign w:val="center"/>
          </w:tcPr>
          <w:p w14:paraId="63E331F5">
            <w:pPr>
              <w:spacing w:line="440" w:lineRule="atLeast"/>
              <w:jc w:val="center"/>
              <w:rPr>
                <w:rFonts w:eastAsia="方正仿宋简体"/>
                <w:sz w:val="24"/>
                <w:szCs w:val="24"/>
              </w:rPr>
            </w:pPr>
            <w:r>
              <w:rPr>
                <w:rFonts w:hint="eastAsia" w:eastAsia="方正仿宋简体"/>
                <w:sz w:val="24"/>
                <w:szCs w:val="24"/>
              </w:rPr>
              <w:t>党委</w:t>
            </w:r>
            <w:r>
              <w:rPr>
                <w:rFonts w:eastAsia="方正仿宋简体"/>
                <w:sz w:val="24"/>
                <w:szCs w:val="24"/>
              </w:rPr>
              <w:t>组织委员</w:t>
            </w:r>
          </w:p>
        </w:tc>
        <w:tc>
          <w:tcPr>
            <w:tcW w:w="1821" w:type="dxa"/>
            <w:tcBorders>
              <w:top w:val="nil"/>
              <w:left w:val="single" w:color="auto" w:sz="4" w:space="0"/>
              <w:bottom w:val="single" w:color="auto" w:sz="4" w:space="0"/>
              <w:right w:val="single" w:color="auto" w:sz="4" w:space="0"/>
            </w:tcBorders>
            <w:noWrap/>
            <w:vAlign w:val="center"/>
          </w:tcPr>
          <w:p w14:paraId="42389B04">
            <w:pPr>
              <w:spacing w:line="440" w:lineRule="atLeast"/>
              <w:jc w:val="center"/>
              <w:rPr>
                <w:rFonts w:eastAsia="方正仿宋简体"/>
                <w:sz w:val="24"/>
                <w:szCs w:val="24"/>
              </w:rPr>
            </w:pPr>
            <w:r>
              <w:rPr>
                <w:rFonts w:eastAsia="方正仿宋简体"/>
                <w:sz w:val="24"/>
                <w:szCs w:val="24"/>
              </w:rPr>
              <w:t>13850827284</w:t>
            </w:r>
          </w:p>
        </w:tc>
      </w:tr>
      <w:tr w14:paraId="3669F4D2">
        <w:tblPrEx>
          <w:tblCellMar>
            <w:top w:w="0" w:type="dxa"/>
            <w:left w:w="108" w:type="dxa"/>
            <w:bottom w:w="0" w:type="dxa"/>
            <w:right w:w="108" w:type="dxa"/>
          </w:tblCellMar>
        </w:tblPrEx>
        <w:trPr>
          <w:trHeight w:val="510" w:hRule="atLeast"/>
          <w:jc w:val="center"/>
        </w:trPr>
        <w:tc>
          <w:tcPr>
            <w:tcW w:w="864" w:type="dxa"/>
            <w:tcBorders>
              <w:top w:val="nil"/>
              <w:left w:val="single" w:color="auto" w:sz="4" w:space="0"/>
              <w:bottom w:val="single" w:color="auto" w:sz="4" w:space="0"/>
              <w:right w:val="single" w:color="auto" w:sz="4" w:space="0"/>
            </w:tcBorders>
            <w:vAlign w:val="center"/>
          </w:tcPr>
          <w:p w14:paraId="052BB480">
            <w:pPr>
              <w:spacing w:line="440" w:lineRule="atLeast"/>
              <w:jc w:val="center"/>
              <w:rPr>
                <w:rFonts w:eastAsia="方正仿宋简体"/>
                <w:sz w:val="24"/>
                <w:szCs w:val="24"/>
              </w:rPr>
            </w:pPr>
            <w:r>
              <w:rPr>
                <w:rFonts w:eastAsia="方正仿宋简体"/>
                <w:sz w:val="24"/>
                <w:szCs w:val="24"/>
              </w:rPr>
              <w:t>22</w:t>
            </w:r>
          </w:p>
        </w:tc>
        <w:tc>
          <w:tcPr>
            <w:tcW w:w="3162" w:type="dxa"/>
            <w:tcBorders>
              <w:top w:val="single" w:color="auto" w:sz="4" w:space="0"/>
              <w:left w:val="nil"/>
              <w:bottom w:val="single" w:color="auto" w:sz="4" w:space="0"/>
              <w:right w:val="single" w:color="auto" w:sz="4" w:space="0"/>
            </w:tcBorders>
            <w:noWrap/>
            <w:vAlign w:val="center"/>
          </w:tcPr>
          <w:p w14:paraId="7EC3BC72">
            <w:pPr>
              <w:spacing w:line="440" w:lineRule="atLeast"/>
              <w:jc w:val="center"/>
              <w:rPr>
                <w:rFonts w:eastAsia="方正仿宋简体"/>
                <w:sz w:val="24"/>
                <w:szCs w:val="24"/>
              </w:rPr>
            </w:pPr>
            <w:r>
              <w:rPr>
                <w:rFonts w:eastAsia="方正仿宋简体"/>
                <w:sz w:val="24"/>
                <w:szCs w:val="24"/>
              </w:rPr>
              <w:t>夏茂镇</w:t>
            </w:r>
          </w:p>
        </w:tc>
        <w:tc>
          <w:tcPr>
            <w:tcW w:w="1298" w:type="dxa"/>
            <w:tcBorders>
              <w:top w:val="single" w:color="auto" w:sz="4" w:space="0"/>
              <w:left w:val="nil"/>
              <w:bottom w:val="single" w:color="auto" w:sz="4" w:space="0"/>
              <w:right w:val="single" w:color="auto" w:sz="4" w:space="0"/>
            </w:tcBorders>
            <w:vAlign w:val="center"/>
          </w:tcPr>
          <w:p w14:paraId="38F1DBB4">
            <w:pPr>
              <w:spacing w:line="440" w:lineRule="atLeast"/>
              <w:jc w:val="center"/>
              <w:rPr>
                <w:rFonts w:eastAsia="方正仿宋简体"/>
                <w:sz w:val="24"/>
                <w:szCs w:val="24"/>
              </w:rPr>
            </w:pPr>
            <w:r>
              <w:rPr>
                <w:rFonts w:eastAsia="方正仿宋简体"/>
                <w:sz w:val="24"/>
                <w:szCs w:val="24"/>
              </w:rPr>
              <w:t>洪华辉</w:t>
            </w:r>
          </w:p>
        </w:tc>
        <w:tc>
          <w:tcPr>
            <w:tcW w:w="1674" w:type="dxa"/>
            <w:tcBorders>
              <w:top w:val="single" w:color="auto" w:sz="4" w:space="0"/>
              <w:left w:val="single" w:color="auto" w:sz="4" w:space="0"/>
              <w:bottom w:val="single" w:color="auto" w:sz="4" w:space="0"/>
              <w:right w:val="single" w:color="auto" w:sz="4" w:space="0"/>
            </w:tcBorders>
            <w:vAlign w:val="center"/>
          </w:tcPr>
          <w:p w14:paraId="796D02E1">
            <w:pPr>
              <w:spacing w:line="440" w:lineRule="atLeast"/>
              <w:jc w:val="center"/>
              <w:rPr>
                <w:rFonts w:eastAsia="方正仿宋简体"/>
                <w:sz w:val="24"/>
                <w:szCs w:val="24"/>
              </w:rPr>
            </w:pPr>
            <w:r>
              <w:rPr>
                <w:rFonts w:eastAsia="方正仿宋简体"/>
                <w:sz w:val="24"/>
                <w:szCs w:val="24"/>
              </w:rPr>
              <w:t>党委副书记</w:t>
            </w:r>
          </w:p>
        </w:tc>
        <w:tc>
          <w:tcPr>
            <w:tcW w:w="1821" w:type="dxa"/>
            <w:tcBorders>
              <w:top w:val="single" w:color="auto" w:sz="4" w:space="0"/>
              <w:left w:val="single" w:color="auto" w:sz="4" w:space="0"/>
              <w:bottom w:val="single" w:color="auto" w:sz="4" w:space="0"/>
              <w:right w:val="single" w:color="auto" w:sz="4" w:space="0"/>
            </w:tcBorders>
            <w:noWrap/>
            <w:vAlign w:val="center"/>
          </w:tcPr>
          <w:p w14:paraId="41BE0899">
            <w:pPr>
              <w:spacing w:line="440" w:lineRule="atLeast"/>
              <w:jc w:val="center"/>
              <w:rPr>
                <w:rFonts w:eastAsia="方正仿宋简体"/>
                <w:sz w:val="24"/>
                <w:szCs w:val="24"/>
              </w:rPr>
            </w:pPr>
            <w:r>
              <w:rPr>
                <w:rFonts w:eastAsia="方正仿宋简体"/>
                <w:sz w:val="24"/>
                <w:szCs w:val="24"/>
              </w:rPr>
              <w:t>13806960328</w:t>
            </w:r>
          </w:p>
        </w:tc>
      </w:tr>
      <w:tr w14:paraId="386016E7">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973021A">
            <w:pPr>
              <w:spacing w:line="440" w:lineRule="atLeast"/>
              <w:jc w:val="center"/>
              <w:rPr>
                <w:rFonts w:eastAsia="方正仿宋简体"/>
                <w:sz w:val="24"/>
                <w:szCs w:val="24"/>
              </w:rPr>
            </w:pPr>
            <w:r>
              <w:rPr>
                <w:rFonts w:eastAsia="方正仿宋简体"/>
                <w:sz w:val="24"/>
                <w:szCs w:val="24"/>
              </w:rPr>
              <w:t>23</w:t>
            </w:r>
          </w:p>
        </w:tc>
        <w:tc>
          <w:tcPr>
            <w:tcW w:w="3162" w:type="dxa"/>
            <w:tcBorders>
              <w:top w:val="single" w:color="auto" w:sz="4" w:space="0"/>
              <w:left w:val="nil"/>
              <w:bottom w:val="single" w:color="auto" w:sz="4" w:space="0"/>
              <w:right w:val="single" w:color="auto" w:sz="4" w:space="0"/>
            </w:tcBorders>
            <w:noWrap/>
            <w:vAlign w:val="center"/>
          </w:tcPr>
          <w:p w14:paraId="6B8E88FE">
            <w:pPr>
              <w:spacing w:line="440" w:lineRule="atLeast"/>
              <w:jc w:val="center"/>
              <w:rPr>
                <w:rFonts w:eastAsia="方正仿宋简体"/>
                <w:sz w:val="24"/>
                <w:szCs w:val="24"/>
              </w:rPr>
            </w:pPr>
            <w:r>
              <w:rPr>
                <w:rFonts w:eastAsia="方正仿宋简体"/>
                <w:sz w:val="24"/>
                <w:szCs w:val="24"/>
              </w:rPr>
              <w:t>青州镇</w:t>
            </w:r>
          </w:p>
        </w:tc>
        <w:tc>
          <w:tcPr>
            <w:tcW w:w="1298" w:type="dxa"/>
            <w:tcBorders>
              <w:top w:val="single" w:color="auto" w:sz="4" w:space="0"/>
              <w:left w:val="nil"/>
              <w:bottom w:val="single" w:color="auto" w:sz="4" w:space="0"/>
              <w:right w:val="single" w:color="auto" w:sz="4" w:space="0"/>
            </w:tcBorders>
            <w:vAlign w:val="center"/>
          </w:tcPr>
          <w:p w14:paraId="42E8BA25">
            <w:pPr>
              <w:spacing w:line="440" w:lineRule="atLeast"/>
              <w:jc w:val="center"/>
              <w:rPr>
                <w:rFonts w:eastAsia="方正仿宋简体"/>
                <w:sz w:val="24"/>
                <w:szCs w:val="24"/>
              </w:rPr>
            </w:pPr>
            <w:r>
              <w:rPr>
                <w:rFonts w:eastAsia="方正仿宋简体"/>
                <w:sz w:val="24"/>
                <w:szCs w:val="24"/>
              </w:rPr>
              <w:t>罗治清</w:t>
            </w:r>
          </w:p>
        </w:tc>
        <w:tc>
          <w:tcPr>
            <w:tcW w:w="1674" w:type="dxa"/>
            <w:tcBorders>
              <w:top w:val="single" w:color="auto" w:sz="4" w:space="0"/>
              <w:left w:val="single" w:color="auto" w:sz="4" w:space="0"/>
              <w:bottom w:val="single" w:color="auto" w:sz="4" w:space="0"/>
              <w:right w:val="single" w:color="auto" w:sz="4" w:space="0"/>
            </w:tcBorders>
            <w:vAlign w:val="center"/>
          </w:tcPr>
          <w:p w14:paraId="4187212E">
            <w:pPr>
              <w:spacing w:line="440" w:lineRule="atLeast"/>
              <w:jc w:val="center"/>
              <w:rPr>
                <w:rFonts w:eastAsia="方正仿宋简体"/>
                <w:sz w:val="24"/>
                <w:szCs w:val="24"/>
              </w:rPr>
            </w:pPr>
            <w:r>
              <w:rPr>
                <w:rFonts w:eastAsia="方正仿宋简体"/>
                <w:sz w:val="24"/>
                <w:szCs w:val="24"/>
              </w:rPr>
              <w:t>人大主席</w:t>
            </w:r>
          </w:p>
        </w:tc>
        <w:tc>
          <w:tcPr>
            <w:tcW w:w="1821" w:type="dxa"/>
            <w:tcBorders>
              <w:top w:val="single" w:color="auto" w:sz="4" w:space="0"/>
              <w:left w:val="single" w:color="auto" w:sz="4" w:space="0"/>
              <w:bottom w:val="single" w:color="auto" w:sz="4" w:space="0"/>
              <w:right w:val="single" w:color="auto" w:sz="4" w:space="0"/>
            </w:tcBorders>
            <w:noWrap/>
            <w:vAlign w:val="center"/>
          </w:tcPr>
          <w:p w14:paraId="49784D6B">
            <w:pPr>
              <w:spacing w:line="440" w:lineRule="atLeast"/>
              <w:jc w:val="center"/>
              <w:rPr>
                <w:rFonts w:eastAsia="方正仿宋简体"/>
                <w:sz w:val="24"/>
                <w:szCs w:val="24"/>
              </w:rPr>
            </w:pPr>
            <w:r>
              <w:rPr>
                <w:rFonts w:eastAsia="方正仿宋简体"/>
                <w:sz w:val="24"/>
                <w:szCs w:val="24"/>
              </w:rPr>
              <w:t>13960506050</w:t>
            </w:r>
          </w:p>
        </w:tc>
      </w:tr>
      <w:tr w14:paraId="30B3C202">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B4E161A">
            <w:pPr>
              <w:spacing w:line="440" w:lineRule="atLeast"/>
              <w:jc w:val="center"/>
              <w:rPr>
                <w:rFonts w:eastAsia="方正仿宋简体"/>
                <w:sz w:val="24"/>
                <w:szCs w:val="24"/>
              </w:rPr>
            </w:pPr>
            <w:r>
              <w:rPr>
                <w:rFonts w:eastAsia="方正仿宋简体"/>
                <w:sz w:val="24"/>
                <w:szCs w:val="24"/>
              </w:rPr>
              <w:t>24</w:t>
            </w:r>
          </w:p>
        </w:tc>
        <w:tc>
          <w:tcPr>
            <w:tcW w:w="3162" w:type="dxa"/>
            <w:tcBorders>
              <w:top w:val="single" w:color="auto" w:sz="4" w:space="0"/>
              <w:left w:val="nil"/>
              <w:bottom w:val="single" w:color="auto" w:sz="4" w:space="0"/>
              <w:right w:val="single" w:color="auto" w:sz="4" w:space="0"/>
            </w:tcBorders>
            <w:noWrap/>
            <w:vAlign w:val="center"/>
          </w:tcPr>
          <w:p w14:paraId="79AF2423">
            <w:pPr>
              <w:spacing w:line="440" w:lineRule="atLeast"/>
              <w:jc w:val="center"/>
              <w:rPr>
                <w:rFonts w:eastAsia="方正仿宋简体"/>
                <w:sz w:val="24"/>
                <w:szCs w:val="24"/>
              </w:rPr>
            </w:pPr>
            <w:r>
              <w:rPr>
                <w:rFonts w:eastAsia="方正仿宋简体"/>
                <w:sz w:val="24"/>
                <w:szCs w:val="24"/>
              </w:rPr>
              <w:t>高砂镇</w:t>
            </w:r>
          </w:p>
        </w:tc>
        <w:tc>
          <w:tcPr>
            <w:tcW w:w="1298" w:type="dxa"/>
            <w:tcBorders>
              <w:top w:val="single" w:color="auto" w:sz="4" w:space="0"/>
              <w:left w:val="nil"/>
              <w:bottom w:val="single" w:color="auto" w:sz="4" w:space="0"/>
              <w:right w:val="single" w:color="auto" w:sz="4" w:space="0"/>
            </w:tcBorders>
            <w:vAlign w:val="center"/>
          </w:tcPr>
          <w:p w14:paraId="51796554">
            <w:pPr>
              <w:spacing w:line="440" w:lineRule="atLeast"/>
              <w:jc w:val="center"/>
              <w:rPr>
                <w:rFonts w:eastAsia="方正仿宋简体"/>
                <w:sz w:val="24"/>
                <w:szCs w:val="24"/>
              </w:rPr>
            </w:pPr>
            <w:r>
              <w:rPr>
                <w:rFonts w:eastAsia="方正仿宋简体"/>
                <w:sz w:val="24"/>
                <w:szCs w:val="24"/>
              </w:rPr>
              <w:t>冯超</w:t>
            </w:r>
          </w:p>
        </w:tc>
        <w:tc>
          <w:tcPr>
            <w:tcW w:w="1674" w:type="dxa"/>
            <w:tcBorders>
              <w:top w:val="single" w:color="auto" w:sz="4" w:space="0"/>
              <w:left w:val="single" w:color="auto" w:sz="4" w:space="0"/>
              <w:bottom w:val="single" w:color="auto" w:sz="4" w:space="0"/>
              <w:right w:val="single" w:color="auto" w:sz="4" w:space="0"/>
            </w:tcBorders>
            <w:vAlign w:val="center"/>
          </w:tcPr>
          <w:p w14:paraId="0C7ABE7B">
            <w:pPr>
              <w:spacing w:line="440" w:lineRule="atLeast"/>
              <w:jc w:val="center"/>
              <w:rPr>
                <w:rFonts w:eastAsia="方正仿宋简体"/>
                <w:sz w:val="24"/>
                <w:szCs w:val="24"/>
              </w:rPr>
            </w:pPr>
            <w:r>
              <w:rPr>
                <w:rFonts w:eastAsia="方正仿宋简体"/>
                <w:sz w:val="24"/>
                <w:szCs w:val="24"/>
              </w:rPr>
              <w:t>副镇长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0EB46556">
            <w:pPr>
              <w:spacing w:line="440" w:lineRule="atLeast"/>
              <w:jc w:val="center"/>
              <w:rPr>
                <w:rFonts w:eastAsia="方正仿宋简体"/>
                <w:sz w:val="24"/>
                <w:szCs w:val="24"/>
              </w:rPr>
            </w:pPr>
            <w:r>
              <w:rPr>
                <w:rFonts w:eastAsia="方正仿宋简体"/>
                <w:sz w:val="24"/>
                <w:szCs w:val="24"/>
              </w:rPr>
              <w:t>15259895977</w:t>
            </w:r>
          </w:p>
        </w:tc>
      </w:tr>
      <w:tr w14:paraId="1F004EEE">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5A209D8">
            <w:pPr>
              <w:spacing w:line="440" w:lineRule="atLeast"/>
              <w:jc w:val="center"/>
              <w:rPr>
                <w:rFonts w:eastAsia="方正仿宋简体"/>
                <w:sz w:val="24"/>
                <w:szCs w:val="24"/>
              </w:rPr>
            </w:pPr>
            <w:r>
              <w:rPr>
                <w:rFonts w:eastAsia="方正仿宋简体"/>
                <w:sz w:val="24"/>
                <w:szCs w:val="24"/>
              </w:rPr>
              <w:t>25</w:t>
            </w:r>
          </w:p>
        </w:tc>
        <w:tc>
          <w:tcPr>
            <w:tcW w:w="3162" w:type="dxa"/>
            <w:tcBorders>
              <w:top w:val="single" w:color="auto" w:sz="4" w:space="0"/>
              <w:left w:val="nil"/>
              <w:bottom w:val="single" w:color="auto" w:sz="4" w:space="0"/>
              <w:right w:val="single" w:color="auto" w:sz="4" w:space="0"/>
            </w:tcBorders>
            <w:noWrap/>
            <w:vAlign w:val="center"/>
          </w:tcPr>
          <w:p w14:paraId="184097BC">
            <w:pPr>
              <w:spacing w:line="440" w:lineRule="atLeast"/>
              <w:jc w:val="center"/>
              <w:rPr>
                <w:rFonts w:eastAsia="方正仿宋简体"/>
                <w:sz w:val="24"/>
                <w:szCs w:val="24"/>
              </w:rPr>
            </w:pPr>
            <w:r>
              <w:rPr>
                <w:rFonts w:eastAsia="方正仿宋简体"/>
                <w:sz w:val="24"/>
                <w:szCs w:val="24"/>
              </w:rPr>
              <w:t>高桥镇</w:t>
            </w:r>
          </w:p>
        </w:tc>
        <w:tc>
          <w:tcPr>
            <w:tcW w:w="1298" w:type="dxa"/>
            <w:tcBorders>
              <w:top w:val="single" w:color="auto" w:sz="4" w:space="0"/>
              <w:left w:val="nil"/>
              <w:bottom w:val="single" w:color="auto" w:sz="4" w:space="0"/>
              <w:right w:val="single" w:color="auto" w:sz="4" w:space="0"/>
            </w:tcBorders>
            <w:vAlign w:val="center"/>
          </w:tcPr>
          <w:p w14:paraId="165812C9">
            <w:pPr>
              <w:spacing w:line="440" w:lineRule="atLeast"/>
              <w:jc w:val="center"/>
              <w:rPr>
                <w:rFonts w:eastAsia="方正仿宋简体"/>
                <w:sz w:val="24"/>
                <w:szCs w:val="24"/>
              </w:rPr>
            </w:pPr>
            <w:r>
              <w:rPr>
                <w:rFonts w:eastAsia="方正仿宋简体"/>
                <w:sz w:val="24"/>
                <w:szCs w:val="24"/>
              </w:rPr>
              <w:t>涂日权</w:t>
            </w:r>
          </w:p>
        </w:tc>
        <w:tc>
          <w:tcPr>
            <w:tcW w:w="1674" w:type="dxa"/>
            <w:tcBorders>
              <w:top w:val="single" w:color="auto" w:sz="4" w:space="0"/>
              <w:left w:val="single" w:color="auto" w:sz="4" w:space="0"/>
              <w:bottom w:val="single" w:color="auto" w:sz="4" w:space="0"/>
              <w:right w:val="single" w:color="auto" w:sz="4" w:space="0"/>
            </w:tcBorders>
            <w:vAlign w:val="center"/>
          </w:tcPr>
          <w:p w14:paraId="264FCA09">
            <w:pPr>
              <w:spacing w:line="440" w:lineRule="atLeast"/>
              <w:jc w:val="center"/>
              <w:rPr>
                <w:rFonts w:eastAsia="方正仿宋简体"/>
                <w:sz w:val="24"/>
                <w:szCs w:val="24"/>
              </w:rPr>
            </w:pPr>
            <w:r>
              <w:rPr>
                <w:rFonts w:eastAsia="方正仿宋简体"/>
                <w:sz w:val="24"/>
                <w:szCs w:val="24"/>
              </w:rPr>
              <w:t>副镇长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22DE4237">
            <w:pPr>
              <w:spacing w:line="440" w:lineRule="atLeast"/>
              <w:jc w:val="center"/>
              <w:rPr>
                <w:rFonts w:eastAsia="方正仿宋简体"/>
                <w:sz w:val="24"/>
                <w:szCs w:val="24"/>
              </w:rPr>
            </w:pPr>
            <w:r>
              <w:rPr>
                <w:rFonts w:eastAsia="方正仿宋简体"/>
                <w:sz w:val="24"/>
                <w:szCs w:val="24"/>
              </w:rPr>
              <w:t>15280598959</w:t>
            </w:r>
          </w:p>
        </w:tc>
      </w:tr>
      <w:tr w14:paraId="087EC9F2">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183F252">
            <w:pPr>
              <w:spacing w:line="440" w:lineRule="atLeast"/>
              <w:jc w:val="center"/>
              <w:rPr>
                <w:rFonts w:eastAsia="方正仿宋简体"/>
                <w:sz w:val="24"/>
                <w:szCs w:val="24"/>
              </w:rPr>
            </w:pPr>
            <w:r>
              <w:rPr>
                <w:rFonts w:eastAsia="方正仿宋简体"/>
                <w:sz w:val="24"/>
                <w:szCs w:val="24"/>
              </w:rPr>
              <w:t>26</w:t>
            </w:r>
          </w:p>
        </w:tc>
        <w:tc>
          <w:tcPr>
            <w:tcW w:w="3162" w:type="dxa"/>
            <w:tcBorders>
              <w:top w:val="single" w:color="auto" w:sz="4" w:space="0"/>
              <w:left w:val="nil"/>
              <w:bottom w:val="single" w:color="auto" w:sz="4" w:space="0"/>
              <w:right w:val="single" w:color="auto" w:sz="4" w:space="0"/>
            </w:tcBorders>
            <w:noWrap/>
            <w:vAlign w:val="center"/>
          </w:tcPr>
          <w:p w14:paraId="677F485D">
            <w:pPr>
              <w:spacing w:line="440" w:lineRule="atLeast"/>
              <w:jc w:val="center"/>
              <w:rPr>
                <w:rFonts w:eastAsia="方正仿宋简体"/>
                <w:sz w:val="24"/>
                <w:szCs w:val="24"/>
              </w:rPr>
            </w:pPr>
            <w:r>
              <w:rPr>
                <w:rFonts w:eastAsia="方正仿宋简体"/>
                <w:sz w:val="24"/>
                <w:szCs w:val="24"/>
              </w:rPr>
              <w:t>富口镇</w:t>
            </w:r>
          </w:p>
        </w:tc>
        <w:tc>
          <w:tcPr>
            <w:tcW w:w="1298" w:type="dxa"/>
            <w:tcBorders>
              <w:top w:val="single" w:color="auto" w:sz="4" w:space="0"/>
              <w:left w:val="nil"/>
              <w:bottom w:val="single" w:color="auto" w:sz="4" w:space="0"/>
              <w:right w:val="single" w:color="auto" w:sz="4" w:space="0"/>
            </w:tcBorders>
            <w:vAlign w:val="center"/>
          </w:tcPr>
          <w:p w14:paraId="41D5B096">
            <w:pPr>
              <w:spacing w:line="440" w:lineRule="atLeast"/>
              <w:jc w:val="center"/>
              <w:rPr>
                <w:rFonts w:eastAsia="方正仿宋简体"/>
                <w:sz w:val="24"/>
                <w:szCs w:val="24"/>
              </w:rPr>
            </w:pPr>
            <w:r>
              <w:rPr>
                <w:rFonts w:eastAsia="方正仿宋简体"/>
                <w:sz w:val="24"/>
                <w:szCs w:val="24"/>
              </w:rPr>
              <w:t>黄志创</w:t>
            </w:r>
          </w:p>
        </w:tc>
        <w:tc>
          <w:tcPr>
            <w:tcW w:w="1674" w:type="dxa"/>
            <w:tcBorders>
              <w:top w:val="single" w:color="auto" w:sz="4" w:space="0"/>
              <w:left w:val="single" w:color="auto" w:sz="4" w:space="0"/>
              <w:bottom w:val="single" w:color="auto" w:sz="4" w:space="0"/>
              <w:right w:val="single" w:color="auto" w:sz="4" w:space="0"/>
            </w:tcBorders>
            <w:vAlign w:val="center"/>
          </w:tcPr>
          <w:p w14:paraId="5C40ED15">
            <w:pPr>
              <w:spacing w:line="440" w:lineRule="atLeast"/>
              <w:jc w:val="center"/>
              <w:rPr>
                <w:rFonts w:eastAsia="方正仿宋简体"/>
                <w:sz w:val="24"/>
                <w:szCs w:val="24"/>
              </w:rPr>
            </w:pPr>
            <w:r>
              <w:rPr>
                <w:rFonts w:eastAsia="方正仿宋简体"/>
                <w:sz w:val="24"/>
                <w:szCs w:val="24"/>
              </w:rPr>
              <w:t>副镇长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6598865E">
            <w:pPr>
              <w:spacing w:line="440" w:lineRule="atLeast"/>
              <w:jc w:val="center"/>
              <w:rPr>
                <w:rFonts w:eastAsia="方正仿宋简体"/>
                <w:sz w:val="24"/>
                <w:szCs w:val="24"/>
              </w:rPr>
            </w:pPr>
            <w:r>
              <w:rPr>
                <w:rFonts w:eastAsia="方正仿宋简体"/>
                <w:sz w:val="24"/>
                <w:szCs w:val="24"/>
              </w:rPr>
              <w:t>13616962622</w:t>
            </w:r>
          </w:p>
        </w:tc>
      </w:tr>
      <w:tr w14:paraId="10CB06B3">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FCF12BD">
            <w:pPr>
              <w:spacing w:line="440" w:lineRule="atLeast"/>
              <w:jc w:val="center"/>
              <w:rPr>
                <w:rFonts w:eastAsia="方正仿宋简体"/>
                <w:sz w:val="24"/>
                <w:szCs w:val="24"/>
              </w:rPr>
            </w:pPr>
            <w:r>
              <w:rPr>
                <w:rFonts w:eastAsia="方正仿宋简体"/>
                <w:sz w:val="24"/>
                <w:szCs w:val="24"/>
              </w:rPr>
              <w:t>27</w:t>
            </w:r>
          </w:p>
        </w:tc>
        <w:tc>
          <w:tcPr>
            <w:tcW w:w="3162" w:type="dxa"/>
            <w:tcBorders>
              <w:top w:val="single" w:color="auto" w:sz="4" w:space="0"/>
              <w:left w:val="nil"/>
              <w:bottom w:val="single" w:color="auto" w:sz="4" w:space="0"/>
              <w:right w:val="single" w:color="auto" w:sz="4" w:space="0"/>
            </w:tcBorders>
            <w:noWrap/>
            <w:vAlign w:val="center"/>
          </w:tcPr>
          <w:p w14:paraId="7FFE9DA2">
            <w:pPr>
              <w:spacing w:line="440" w:lineRule="atLeast"/>
              <w:jc w:val="center"/>
              <w:rPr>
                <w:rFonts w:eastAsia="方正仿宋简体"/>
                <w:sz w:val="24"/>
                <w:szCs w:val="24"/>
              </w:rPr>
            </w:pPr>
            <w:r>
              <w:rPr>
                <w:rFonts w:eastAsia="方正仿宋简体"/>
                <w:sz w:val="24"/>
                <w:szCs w:val="24"/>
              </w:rPr>
              <w:t>大洛镇</w:t>
            </w:r>
          </w:p>
        </w:tc>
        <w:tc>
          <w:tcPr>
            <w:tcW w:w="1298" w:type="dxa"/>
            <w:tcBorders>
              <w:top w:val="single" w:color="auto" w:sz="4" w:space="0"/>
              <w:left w:val="nil"/>
              <w:bottom w:val="single" w:color="auto" w:sz="4" w:space="0"/>
              <w:right w:val="single" w:color="auto" w:sz="4" w:space="0"/>
            </w:tcBorders>
            <w:vAlign w:val="center"/>
          </w:tcPr>
          <w:p w14:paraId="0DAE0418">
            <w:pPr>
              <w:spacing w:line="440" w:lineRule="atLeast"/>
              <w:jc w:val="center"/>
              <w:rPr>
                <w:rFonts w:eastAsia="方正仿宋简体"/>
                <w:sz w:val="24"/>
                <w:szCs w:val="24"/>
              </w:rPr>
            </w:pPr>
            <w:r>
              <w:rPr>
                <w:rFonts w:eastAsia="方正仿宋简体"/>
                <w:sz w:val="24"/>
                <w:szCs w:val="24"/>
              </w:rPr>
              <w:t>王猛成</w:t>
            </w:r>
          </w:p>
        </w:tc>
        <w:tc>
          <w:tcPr>
            <w:tcW w:w="1674" w:type="dxa"/>
            <w:tcBorders>
              <w:top w:val="single" w:color="auto" w:sz="4" w:space="0"/>
              <w:left w:val="single" w:color="auto" w:sz="4" w:space="0"/>
              <w:bottom w:val="single" w:color="auto" w:sz="4" w:space="0"/>
              <w:right w:val="single" w:color="auto" w:sz="4" w:space="0"/>
            </w:tcBorders>
            <w:vAlign w:val="center"/>
          </w:tcPr>
          <w:p w14:paraId="755FC144">
            <w:pPr>
              <w:spacing w:line="440" w:lineRule="atLeast"/>
              <w:jc w:val="center"/>
              <w:rPr>
                <w:rFonts w:eastAsia="方正仿宋简体"/>
                <w:sz w:val="24"/>
                <w:szCs w:val="24"/>
              </w:rPr>
            </w:pPr>
            <w:r>
              <w:rPr>
                <w:rFonts w:eastAsia="方正仿宋简体"/>
                <w:sz w:val="24"/>
                <w:szCs w:val="24"/>
              </w:rPr>
              <w:t>组织委员</w:t>
            </w:r>
          </w:p>
        </w:tc>
        <w:tc>
          <w:tcPr>
            <w:tcW w:w="1821" w:type="dxa"/>
            <w:tcBorders>
              <w:top w:val="single" w:color="auto" w:sz="4" w:space="0"/>
              <w:left w:val="single" w:color="auto" w:sz="4" w:space="0"/>
              <w:bottom w:val="single" w:color="auto" w:sz="4" w:space="0"/>
              <w:right w:val="single" w:color="auto" w:sz="4" w:space="0"/>
            </w:tcBorders>
            <w:noWrap/>
            <w:vAlign w:val="center"/>
          </w:tcPr>
          <w:p w14:paraId="1A2505C8">
            <w:pPr>
              <w:spacing w:line="440" w:lineRule="atLeast"/>
              <w:jc w:val="center"/>
              <w:rPr>
                <w:rFonts w:eastAsia="方正仿宋简体"/>
                <w:sz w:val="24"/>
                <w:szCs w:val="24"/>
              </w:rPr>
            </w:pPr>
            <w:r>
              <w:rPr>
                <w:rFonts w:eastAsia="方正仿宋简体"/>
                <w:sz w:val="24"/>
                <w:szCs w:val="24"/>
              </w:rPr>
              <w:t>15859859467</w:t>
            </w:r>
          </w:p>
        </w:tc>
      </w:tr>
      <w:tr w14:paraId="08F06E93">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F0BD1F2">
            <w:pPr>
              <w:spacing w:line="440" w:lineRule="atLeast"/>
              <w:jc w:val="center"/>
              <w:rPr>
                <w:rFonts w:eastAsia="方正仿宋简体"/>
                <w:sz w:val="24"/>
                <w:szCs w:val="24"/>
              </w:rPr>
            </w:pPr>
            <w:r>
              <w:rPr>
                <w:rFonts w:eastAsia="方正仿宋简体"/>
                <w:sz w:val="24"/>
                <w:szCs w:val="24"/>
              </w:rPr>
              <w:t>28</w:t>
            </w:r>
          </w:p>
        </w:tc>
        <w:tc>
          <w:tcPr>
            <w:tcW w:w="3162" w:type="dxa"/>
            <w:tcBorders>
              <w:top w:val="single" w:color="auto" w:sz="4" w:space="0"/>
              <w:left w:val="nil"/>
              <w:bottom w:val="single" w:color="auto" w:sz="4" w:space="0"/>
              <w:right w:val="single" w:color="auto" w:sz="4" w:space="0"/>
            </w:tcBorders>
            <w:noWrap/>
            <w:vAlign w:val="center"/>
          </w:tcPr>
          <w:p w14:paraId="39B9AFFC">
            <w:pPr>
              <w:spacing w:line="440" w:lineRule="atLeast"/>
              <w:jc w:val="center"/>
              <w:rPr>
                <w:rFonts w:eastAsia="方正仿宋简体"/>
                <w:sz w:val="24"/>
                <w:szCs w:val="24"/>
              </w:rPr>
            </w:pPr>
            <w:r>
              <w:rPr>
                <w:rFonts w:eastAsia="方正仿宋简体"/>
                <w:sz w:val="24"/>
                <w:szCs w:val="24"/>
              </w:rPr>
              <w:t>南霞乡</w:t>
            </w:r>
          </w:p>
        </w:tc>
        <w:tc>
          <w:tcPr>
            <w:tcW w:w="1298" w:type="dxa"/>
            <w:tcBorders>
              <w:top w:val="single" w:color="auto" w:sz="4" w:space="0"/>
              <w:left w:val="nil"/>
              <w:bottom w:val="single" w:color="auto" w:sz="4" w:space="0"/>
              <w:right w:val="single" w:color="auto" w:sz="4" w:space="0"/>
            </w:tcBorders>
            <w:vAlign w:val="center"/>
          </w:tcPr>
          <w:p w14:paraId="21C0135C">
            <w:pPr>
              <w:spacing w:line="440" w:lineRule="atLeast"/>
              <w:jc w:val="center"/>
              <w:rPr>
                <w:rFonts w:eastAsia="方正仿宋简体"/>
                <w:sz w:val="24"/>
                <w:szCs w:val="24"/>
              </w:rPr>
            </w:pPr>
            <w:r>
              <w:rPr>
                <w:rFonts w:eastAsia="方正仿宋简体"/>
                <w:sz w:val="24"/>
                <w:szCs w:val="24"/>
              </w:rPr>
              <w:t>陈炳明</w:t>
            </w:r>
          </w:p>
        </w:tc>
        <w:tc>
          <w:tcPr>
            <w:tcW w:w="1674" w:type="dxa"/>
            <w:tcBorders>
              <w:top w:val="single" w:color="auto" w:sz="4" w:space="0"/>
              <w:left w:val="single" w:color="auto" w:sz="4" w:space="0"/>
              <w:bottom w:val="single" w:color="auto" w:sz="4" w:space="0"/>
              <w:right w:val="single" w:color="auto" w:sz="4" w:space="0"/>
            </w:tcBorders>
            <w:vAlign w:val="center"/>
          </w:tcPr>
          <w:p w14:paraId="43D9B39D">
            <w:pPr>
              <w:spacing w:line="440" w:lineRule="atLeast"/>
              <w:jc w:val="center"/>
              <w:rPr>
                <w:rFonts w:eastAsia="方正仿宋简体"/>
                <w:sz w:val="24"/>
                <w:szCs w:val="24"/>
              </w:rPr>
            </w:pPr>
            <w:r>
              <w:rPr>
                <w:rFonts w:eastAsia="方正仿宋简体"/>
                <w:sz w:val="24"/>
                <w:szCs w:val="24"/>
              </w:rPr>
              <w:t>副乡长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2FC8F19C">
            <w:pPr>
              <w:spacing w:line="440" w:lineRule="atLeast"/>
              <w:jc w:val="center"/>
              <w:rPr>
                <w:rFonts w:eastAsia="方正仿宋简体"/>
                <w:sz w:val="24"/>
                <w:szCs w:val="24"/>
              </w:rPr>
            </w:pPr>
            <w:r>
              <w:rPr>
                <w:rFonts w:eastAsia="方正仿宋简体"/>
                <w:sz w:val="24"/>
                <w:szCs w:val="24"/>
              </w:rPr>
              <w:t>18259739786</w:t>
            </w:r>
          </w:p>
        </w:tc>
      </w:tr>
      <w:tr w14:paraId="272AE5BA">
        <w:tblPrEx>
          <w:tblCellMar>
            <w:top w:w="0" w:type="dxa"/>
            <w:left w:w="108" w:type="dxa"/>
            <w:bottom w:w="0" w:type="dxa"/>
            <w:right w:w="108" w:type="dxa"/>
          </w:tblCellMar>
        </w:tblPrEx>
        <w:trPr>
          <w:trHeight w:val="5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B0A1896">
            <w:pPr>
              <w:spacing w:line="440" w:lineRule="atLeast"/>
              <w:jc w:val="center"/>
              <w:rPr>
                <w:rFonts w:eastAsia="方正仿宋简体"/>
                <w:sz w:val="24"/>
                <w:szCs w:val="24"/>
              </w:rPr>
            </w:pPr>
            <w:r>
              <w:rPr>
                <w:rFonts w:eastAsia="方正仿宋简体"/>
                <w:sz w:val="24"/>
                <w:szCs w:val="24"/>
              </w:rPr>
              <w:t>29</w:t>
            </w:r>
          </w:p>
        </w:tc>
        <w:tc>
          <w:tcPr>
            <w:tcW w:w="3162" w:type="dxa"/>
            <w:tcBorders>
              <w:top w:val="single" w:color="auto" w:sz="4" w:space="0"/>
              <w:left w:val="nil"/>
              <w:bottom w:val="single" w:color="auto" w:sz="4" w:space="0"/>
              <w:right w:val="single" w:color="auto" w:sz="4" w:space="0"/>
            </w:tcBorders>
            <w:noWrap/>
            <w:vAlign w:val="center"/>
          </w:tcPr>
          <w:p w14:paraId="767FCA85">
            <w:pPr>
              <w:spacing w:line="440" w:lineRule="atLeast"/>
              <w:jc w:val="center"/>
              <w:rPr>
                <w:rFonts w:eastAsia="方正仿宋简体"/>
                <w:sz w:val="24"/>
                <w:szCs w:val="24"/>
              </w:rPr>
            </w:pPr>
            <w:r>
              <w:rPr>
                <w:rFonts w:eastAsia="方正仿宋简体"/>
                <w:sz w:val="24"/>
                <w:szCs w:val="24"/>
              </w:rPr>
              <w:t>南阳乡</w:t>
            </w:r>
          </w:p>
        </w:tc>
        <w:tc>
          <w:tcPr>
            <w:tcW w:w="1298" w:type="dxa"/>
            <w:tcBorders>
              <w:top w:val="single" w:color="auto" w:sz="4" w:space="0"/>
              <w:left w:val="nil"/>
              <w:bottom w:val="single" w:color="auto" w:sz="4" w:space="0"/>
              <w:right w:val="single" w:color="auto" w:sz="4" w:space="0"/>
            </w:tcBorders>
            <w:vAlign w:val="center"/>
          </w:tcPr>
          <w:p w14:paraId="3FC1B3B3">
            <w:pPr>
              <w:spacing w:line="440" w:lineRule="atLeast"/>
              <w:jc w:val="center"/>
              <w:rPr>
                <w:rFonts w:eastAsia="方正仿宋简体"/>
                <w:sz w:val="24"/>
                <w:szCs w:val="24"/>
              </w:rPr>
            </w:pPr>
            <w:r>
              <w:rPr>
                <w:rFonts w:eastAsia="方正仿宋简体"/>
                <w:sz w:val="24"/>
                <w:szCs w:val="24"/>
              </w:rPr>
              <w:t>曹盛明</w:t>
            </w:r>
          </w:p>
        </w:tc>
        <w:tc>
          <w:tcPr>
            <w:tcW w:w="1674" w:type="dxa"/>
            <w:tcBorders>
              <w:top w:val="single" w:color="auto" w:sz="4" w:space="0"/>
              <w:left w:val="single" w:color="auto" w:sz="4" w:space="0"/>
              <w:bottom w:val="single" w:color="auto" w:sz="4" w:space="0"/>
              <w:right w:val="single" w:color="auto" w:sz="4" w:space="0"/>
            </w:tcBorders>
            <w:vAlign w:val="center"/>
          </w:tcPr>
          <w:p w14:paraId="7DB275D8">
            <w:pPr>
              <w:spacing w:line="440" w:lineRule="atLeast"/>
              <w:jc w:val="center"/>
              <w:rPr>
                <w:rFonts w:eastAsia="方正仿宋简体"/>
                <w:sz w:val="24"/>
                <w:szCs w:val="24"/>
              </w:rPr>
            </w:pPr>
            <w:r>
              <w:rPr>
                <w:rFonts w:eastAsia="方正仿宋简体"/>
                <w:sz w:val="24"/>
                <w:szCs w:val="24"/>
              </w:rPr>
              <w:t>副乡长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53E4C428">
            <w:pPr>
              <w:spacing w:line="440" w:lineRule="atLeast"/>
              <w:jc w:val="center"/>
              <w:rPr>
                <w:rFonts w:eastAsia="方正仿宋简体"/>
                <w:sz w:val="24"/>
                <w:szCs w:val="24"/>
              </w:rPr>
            </w:pPr>
            <w:r>
              <w:rPr>
                <w:rFonts w:eastAsia="方正仿宋简体"/>
                <w:sz w:val="24"/>
                <w:szCs w:val="24"/>
              </w:rPr>
              <w:t>13605969661</w:t>
            </w:r>
          </w:p>
        </w:tc>
      </w:tr>
      <w:tr w14:paraId="38FDD82D">
        <w:tblPrEx>
          <w:tblCellMar>
            <w:top w:w="0" w:type="dxa"/>
            <w:left w:w="108" w:type="dxa"/>
            <w:bottom w:w="0" w:type="dxa"/>
            <w:right w:w="108" w:type="dxa"/>
          </w:tblCellMar>
        </w:tblPrEx>
        <w:trPr>
          <w:trHeight w:val="291"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AC41AC5">
            <w:pPr>
              <w:spacing w:line="440" w:lineRule="atLeast"/>
              <w:jc w:val="center"/>
              <w:rPr>
                <w:rFonts w:eastAsia="方正仿宋简体"/>
                <w:sz w:val="24"/>
                <w:szCs w:val="24"/>
              </w:rPr>
            </w:pPr>
            <w:r>
              <w:rPr>
                <w:rFonts w:eastAsia="方正仿宋简体"/>
                <w:sz w:val="24"/>
                <w:szCs w:val="24"/>
              </w:rPr>
              <w:t>30</w:t>
            </w:r>
          </w:p>
        </w:tc>
        <w:tc>
          <w:tcPr>
            <w:tcW w:w="3162" w:type="dxa"/>
            <w:tcBorders>
              <w:top w:val="single" w:color="auto" w:sz="4" w:space="0"/>
              <w:left w:val="nil"/>
              <w:bottom w:val="single" w:color="auto" w:sz="4" w:space="0"/>
              <w:right w:val="single" w:color="auto" w:sz="4" w:space="0"/>
            </w:tcBorders>
            <w:noWrap/>
            <w:vAlign w:val="center"/>
          </w:tcPr>
          <w:p w14:paraId="200B0408">
            <w:pPr>
              <w:spacing w:line="440" w:lineRule="atLeast"/>
              <w:jc w:val="center"/>
              <w:rPr>
                <w:rFonts w:eastAsia="方正仿宋简体"/>
                <w:sz w:val="24"/>
                <w:szCs w:val="24"/>
              </w:rPr>
            </w:pPr>
            <w:r>
              <w:rPr>
                <w:rFonts w:eastAsia="方正仿宋简体"/>
                <w:sz w:val="24"/>
                <w:szCs w:val="24"/>
              </w:rPr>
              <w:t>郑湖乡</w:t>
            </w:r>
          </w:p>
        </w:tc>
        <w:tc>
          <w:tcPr>
            <w:tcW w:w="1298" w:type="dxa"/>
            <w:tcBorders>
              <w:top w:val="single" w:color="auto" w:sz="4" w:space="0"/>
              <w:left w:val="nil"/>
              <w:bottom w:val="single" w:color="auto" w:sz="4" w:space="0"/>
              <w:right w:val="single" w:color="auto" w:sz="4" w:space="0"/>
            </w:tcBorders>
            <w:vAlign w:val="center"/>
          </w:tcPr>
          <w:p w14:paraId="3FB50224">
            <w:pPr>
              <w:spacing w:line="440" w:lineRule="atLeast"/>
              <w:jc w:val="center"/>
              <w:rPr>
                <w:rFonts w:eastAsia="方正仿宋简体"/>
                <w:sz w:val="24"/>
                <w:szCs w:val="24"/>
              </w:rPr>
            </w:pPr>
            <w:r>
              <w:rPr>
                <w:rFonts w:eastAsia="方正仿宋简体"/>
                <w:sz w:val="24"/>
                <w:szCs w:val="24"/>
              </w:rPr>
              <w:t>黄海峰</w:t>
            </w:r>
          </w:p>
        </w:tc>
        <w:tc>
          <w:tcPr>
            <w:tcW w:w="1674" w:type="dxa"/>
            <w:tcBorders>
              <w:top w:val="single" w:color="auto" w:sz="4" w:space="0"/>
              <w:left w:val="single" w:color="auto" w:sz="4" w:space="0"/>
              <w:bottom w:val="single" w:color="auto" w:sz="4" w:space="0"/>
              <w:right w:val="single" w:color="auto" w:sz="4" w:space="0"/>
            </w:tcBorders>
            <w:vAlign w:val="center"/>
          </w:tcPr>
          <w:p w14:paraId="7518EB42">
            <w:pPr>
              <w:spacing w:line="360" w:lineRule="exact"/>
              <w:jc w:val="center"/>
              <w:rPr>
                <w:rFonts w:hint="eastAsia" w:eastAsia="方正仿宋简体"/>
                <w:sz w:val="24"/>
                <w:szCs w:val="24"/>
              </w:rPr>
            </w:pPr>
            <w:r>
              <w:rPr>
                <w:rFonts w:eastAsia="方正仿宋简体"/>
                <w:sz w:val="24"/>
                <w:szCs w:val="24"/>
              </w:rPr>
              <w:t>党委宣传、</w:t>
            </w:r>
          </w:p>
          <w:p w14:paraId="44428388">
            <w:pPr>
              <w:spacing w:line="360" w:lineRule="exact"/>
              <w:jc w:val="center"/>
              <w:rPr>
                <w:rFonts w:eastAsia="方正仿宋简体"/>
                <w:sz w:val="24"/>
                <w:szCs w:val="24"/>
              </w:rPr>
            </w:pPr>
            <w:r>
              <w:rPr>
                <w:rFonts w:eastAsia="方正仿宋简体"/>
                <w:sz w:val="24"/>
                <w:szCs w:val="24"/>
              </w:rPr>
              <w:t>统战委员</w:t>
            </w:r>
          </w:p>
        </w:tc>
        <w:tc>
          <w:tcPr>
            <w:tcW w:w="1821" w:type="dxa"/>
            <w:tcBorders>
              <w:top w:val="single" w:color="auto" w:sz="4" w:space="0"/>
              <w:left w:val="single" w:color="auto" w:sz="4" w:space="0"/>
              <w:bottom w:val="single" w:color="auto" w:sz="4" w:space="0"/>
              <w:right w:val="single" w:color="auto" w:sz="4" w:space="0"/>
            </w:tcBorders>
            <w:noWrap/>
            <w:vAlign w:val="center"/>
          </w:tcPr>
          <w:p w14:paraId="2A0E153A">
            <w:pPr>
              <w:spacing w:line="440" w:lineRule="atLeast"/>
              <w:jc w:val="center"/>
              <w:rPr>
                <w:rFonts w:eastAsia="方正仿宋简体"/>
                <w:sz w:val="24"/>
                <w:szCs w:val="24"/>
              </w:rPr>
            </w:pPr>
            <w:r>
              <w:rPr>
                <w:rFonts w:eastAsia="方正仿宋简体"/>
                <w:sz w:val="24"/>
                <w:szCs w:val="24"/>
              </w:rPr>
              <w:t>18960576331</w:t>
            </w:r>
          </w:p>
        </w:tc>
      </w:tr>
      <w:tr w14:paraId="6F8C3B8A">
        <w:tblPrEx>
          <w:tblCellMar>
            <w:top w:w="0" w:type="dxa"/>
            <w:left w:w="108" w:type="dxa"/>
            <w:bottom w:w="0" w:type="dxa"/>
            <w:right w:w="108" w:type="dxa"/>
          </w:tblCellMar>
        </w:tblPrEx>
        <w:trPr>
          <w:trHeight w:val="60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DF6390B">
            <w:pPr>
              <w:spacing w:line="440" w:lineRule="atLeast"/>
              <w:jc w:val="center"/>
              <w:rPr>
                <w:rFonts w:eastAsia="方正仿宋简体"/>
                <w:sz w:val="24"/>
                <w:szCs w:val="24"/>
              </w:rPr>
            </w:pPr>
            <w:r>
              <w:rPr>
                <w:rFonts w:eastAsia="方正仿宋简体"/>
                <w:sz w:val="24"/>
                <w:szCs w:val="24"/>
              </w:rPr>
              <w:t>31</w:t>
            </w:r>
          </w:p>
        </w:tc>
        <w:tc>
          <w:tcPr>
            <w:tcW w:w="3162" w:type="dxa"/>
            <w:tcBorders>
              <w:top w:val="single" w:color="auto" w:sz="4" w:space="0"/>
              <w:left w:val="nil"/>
              <w:bottom w:val="single" w:color="auto" w:sz="4" w:space="0"/>
              <w:right w:val="single" w:color="auto" w:sz="4" w:space="0"/>
            </w:tcBorders>
            <w:noWrap/>
            <w:vAlign w:val="center"/>
          </w:tcPr>
          <w:p w14:paraId="0CCA2FC0">
            <w:pPr>
              <w:spacing w:line="440" w:lineRule="atLeast"/>
              <w:jc w:val="center"/>
              <w:rPr>
                <w:rFonts w:eastAsia="方正仿宋简体"/>
                <w:sz w:val="24"/>
                <w:szCs w:val="24"/>
              </w:rPr>
            </w:pPr>
            <w:r>
              <w:rPr>
                <w:rFonts w:eastAsia="方正仿宋简体"/>
                <w:sz w:val="24"/>
                <w:szCs w:val="24"/>
              </w:rPr>
              <w:t>湖源乡</w:t>
            </w:r>
          </w:p>
        </w:tc>
        <w:tc>
          <w:tcPr>
            <w:tcW w:w="1298" w:type="dxa"/>
            <w:tcBorders>
              <w:top w:val="single" w:color="auto" w:sz="4" w:space="0"/>
              <w:left w:val="nil"/>
              <w:bottom w:val="single" w:color="auto" w:sz="4" w:space="0"/>
              <w:right w:val="single" w:color="auto" w:sz="4" w:space="0"/>
            </w:tcBorders>
            <w:vAlign w:val="center"/>
          </w:tcPr>
          <w:p w14:paraId="5ED59640">
            <w:pPr>
              <w:spacing w:line="440" w:lineRule="atLeast"/>
              <w:jc w:val="center"/>
              <w:rPr>
                <w:rFonts w:eastAsia="方正仿宋简体"/>
                <w:sz w:val="24"/>
                <w:szCs w:val="24"/>
              </w:rPr>
            </w:pPr>
            <w:r>
              <w:rPr>
                <w:rFonts w:eastAsia="方正仿宋简体"/>
                <w:sz w:val="24"/>
                <w:szCs w:val="24"/>
              </w:rPr>
              <w:t>张衡</w:t>
            </w:r>
          </w:p>
        </w:tc>
        <w:tc>
          <w:tcPr>
            <w:tcW w:w="1674" w:type="dxa"/>
            <w:tcBorders>
              <w:top w:val="single" w:color="auto" w:sz="4" w:space="0"/>
              <w:left w:val="single" w:color="auto" w:sz="4" w:space="0"/>
              <w:bottom w:val="single" w:color="auto" w:sz="4" w:space="0"/>
              <w:right w:val="single" w:color="auto" w:sz="4" w:space="0"/>
            </w:tcBorders>
            <w:vAlign w:val="center"/>
          </w:tcPr>
          <w:p w14:paraId="3B37007D">
            <w:pPr>
              <w:spacing w:line="440" w:lineRule="atLeast"/>
              <w:jc w:val="center"/>
              <w:rPr>
                <w:rFonts w:eastAsia="方正仿宋简体"/>
                <w:sz w:val="24"/>
                <w:szCs w:val="24"/>
              </w:rPr>
            </w:pPr>
            <w:r>
              <w:rPr>
                <w:rFonts w:eastAsia="方正仿宋简体"/>
                <w:sz w:val="24"/>
                <w:szCs w:val="24"/>
              </w:rPr>
              <w:t>副乡长</w:t>
            </w:r>
          </w:p>
        </w:tc>
        <w:tc>
          <w:tcPr>
            <w:tcW w:w="1821" w:type="dxa"/>
            <w:tcBorders>
              <w:top w:val="single" w:color="auto" w:sz="4" w:space="0"/>
              <w:left w:val="single" w:color="auto" w:sz="4" w:space="0"/>
              <w:bottom w:val="single" w:color="auto" w:sz="4" w:space="0"/>
              <w:right w:val="single" w:color="auto" w:sz="4" w:space="0"/>
            </w:tcBorders>
            <w:noWrap/>
            <w:vAlign w:val="center"/>
          </w:tcPr>
          <w:p w14:paraId="75C9D009">
            <w:pPr>
              <w:spacing w:line="440" w:lineRule="atLeast"/>
              <w:jc w:val="center"/>
              <w:rPr>
                <w:rFonts w:eastAsia="方正仿宋简体"/>
                <w:sz w:val="24"/>
                <w:szCs w:val="24"/>
              </w:rPr>
            </w:pPr>
            <w:r>
              <w:rPr>
                <w:rFonts w:eastAsia="方正仿宋简体"/>
                <w:sz w:val="24"/>
                <w:szCs w:val="24"/>
              </w:rPr>
              <w:t>15959859500</w:t>
            </w:r>
          </w:p>
        </w:tc>
      </w:tr>
    </w:tbl>
    <w:p w14:paraId="70569791">
      <w:pPr>
        <w:spacing w:line="520" w:lineRule="exact"/>
        <w:rPr>
          <w:rFonts w:ascii="宋体" w:hAnsi="宋体"/>
          <w:sz w:val="24"/>
        </w:rPr>
      </w:pPr>
    </w:p>
    <w:p w14:paraId="2D9899FB">
      <w:pPr>
        <w:spacing w:line="520" w:lineRule="exact"/>
        <w:rPr>
          <w:rFonts w:ascii="宋体" w:hAnsi="宋体"/>
          <w:sz w:val="24"/>
        </w:rPr>
      </w:pPr>
    </w:p>
    <w:p w14:paraId="1B0AAB38">
      <w:pPr>
        <w:spacing w:line="520" w:lineRule="exact"/>
        <w:ind w:firstLine="480" w:firstLineChars="200"/>
        <w:rPr>
          <w:rFonts w:hint="eastAsia" w:ascii="宋体" w:hAnsi="宋体"/>
          <w:sz w:val="24"/>
        </w:rPr>
      </w:pPr>
    </w:p>
    <w:p w14:paraId="73B337F0">
      <w:pPr>
        <w:spacing w:line="520" w:lineRule="exact"/>
        <w:ind w:firstLine="480" w:firstLineChars="200"/>
        <w:rPr>
          <w:rFonts w:hint="eastAsia" w:ascii="宋体" w:hAnsi="宋体"/>
          <w:sz w:val="24"/>
        </w:rPr>
      </w:pPr>
    </w:p>
    <w:p w14:paraId="74BC24F9">
      <w:pPr>
        <w:spacing w:line="520" w:lineRule="exact"/>
        <w:ind w:firstLine="480" w:firstLineChars="200"/>
        <w:rPr>
          <w:rFonts w:hint="eastAsia" w:ascii="宋体" w:hAnsi="宋体"/>
          <w:sz w:val="24"/>
        </w:rPr>
      </w:pPr>
    </w:p>
    <w:p w14:paraId="7D3E2CD4">
      <w:pPr>
        <w:spacing w:line="520" w:lineRule="exact"/>
        <w:ind w:firstLine="480" w:firstLineChars="200"/>
        <w:rPr>
          <w:rFonts w:hint="eastAsia" w:ascii="宋体" w:hAnsi="宋体"/>
          <w:sz w:val="24"/>
        </w:rPr>
      </w:pPr>
    </w:p>
    <w:p w14:paraId="45B5F6B8">
      <w:pPr>
        <w:spacing w:line="520" w:lineRule="exact"/>
        <w:ind w:firstLine="480" w:firstLineChars="200"/>
        <w:rPr>
          <w:rFonts w:hint="eastAsia" w:ascii="宋体" w:hAnsi="宋体"/>
          <w:sz w:val="24"/>
        </w:rPr>
      </w:pPr>
    </w:p>
    <w:p w14:paraId="22861DD8">
      <w:pPr>
        <w:spacing w:line="520" w:lineRule="exact"/>
        <w:ind w:firstLine="480" w:firstLineChars="200"/>
        <w:rPr>
          <w:rFonts w:hint="eastAsia" w:ascii="宋体" w:hAnsi="宋体"/>
          <w:sz w:val="24"/>
        </w:rPr>
      </w:pPr>
    </w:p>
    <w:p w14:paraId="12B08518">
      <w:pPr>
        <w:spacing w:line="520" w:lineRule="exact"/>
        <w:ind w:firstLine="480" w:firstLineChars="200"/>
        <w:rPr>
          <w:rFonts w:hint="eastAsia" w:ascii="宋体" w:hAnsi="宋体"/>
          <w:sz w:val="24"/>
        </w:rPr>
      </w:pPr>
    </w:p>
    <w:p w14:paraId="5DF78348">
      <w:pPr>
        <w:spacing w:line="520" w:lineRule="exact"/>
        <w:ind w:firstLine="480" w:firstLineChars="200"/>
        <w:rPr>
          <w:rFonts w:hint="eastAsia" w:ascii="宋体" w:hAnsi="宋体"/>
          <w:sz w:val="24"/>
        </w:rPr>
      </w:pPr>
    </w:p>
    <w:p w14:paraId="024E6FC7">
      <w:pPr>
        <w:spacing w:line="520" w:lineRule="exact"/>
        <w:ind w:firstLine="480" w:firstLineChars="200"/>
        <w:rPr>
          <w:rFonts w:hint="eastAsia" w:ascii="宋体" w:hAnsi="宋体"/>
          <w:sz w:val="24"/>
        </w:rPr>
      </w:pPr>
    </w:p>
    <w:p w14:paraId="1E5C02BC">
      <w:pPr>
        <w:spacing w:line="520" w:lineRule="exact"/>
        <w:ind w:firstLine="480" w:firstLineChars="200"/>
        <w:rPr>
          <w:rFonts w:hint="eastAsia" w:ascii="宋体" w:hAnsi="宋体"/>
          <w:sz w:val="24"/>
        </w:rPr>
      </w:pPr>
    </w:p>
    <w:p w14:paraId="6C8A610F">
      <w:pPr>
        <w:spacing w:afterLines="50" w:line="560" w:lineRule="exact"/>
        <w:ind w:firstLine="640" w:firstLineChars="200"/>
        <w:rPr>
          <w:rFonts w:hint="eastAsia" w:ascii="方正黑体简体" w:hAnsi="宋体" w:eastAsia="方正黑体简体"/>
          <w:sz w:val="32"/>
          <w:szCs w:val="32"/>
        </w:rPr>
      </w:pPr>
      <w:r>
        <w:rPr>
          <w:rFonts w:hint="eastAsia" w:ascii="方正黑体简体" w:hAnsi="宋体" w:eastAsia="方正黑体简体"/>
          <w:sz w:val="32"/>
          <w:szCs w:val="32"/>
        </w:rPr>
        <w:t>相关部门联系方式</w:t>
      </w:r>
    </w:p>
    <w:tbl>
      <w:tblPr>
        <w:tblStyle w:val="7"/>
        <w:tblW w:w="8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3411"/>
        <w:gridCol w:w="1664"/>
        <w:gridCol w:w="2634"/>
      </w:tblGrid>
      <w:tr w14:paraId="0651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3" w:type="dxa"/>
            <w:vAlign w:val="center"/>
          </w:tcPr>
          <w:p w14:paraId="11D75EC8">
            <w:pPr>
              <w:spacing w:line="360" w:lineRule="exact"/>
              <w:jc w:val="center"/>
              <w:rPr>
                <w:rFonts w:hint="eastAsia" w:ascii="方正黑体简体" w:hAnsi="宋体" w:eastAsia="方正黑体简体"/>
                <w:sz w:val="24"/>
                <w:szCs w:val="20"/>
              </w:rPr>
            </w:pPr>
            <w:r>
              <w:rPr>
                <w:rFonts w:hint="eastAsia" w:ascii="方正黑体简体" w:hAnsi="宋体" w:eastAsia="方正黑体简体"/>
                <w:sz w:val="24"/>
                <w:szCs w:val="20"/>
              </w:rPr>
              <w:t>序号</w:t>
            </w:r>
          </w:p>
        </w:tc>
        <w:tc>
          <w:tcPr>
            <w:tcW w:w="3411" w:type="dxa"/>
            <w:vAlign w:val="center"/>
          </w:tcPr>
          <w:p w14:paraId="540EE145">
            <w:pPr>
              <w:spacing w:line="360" w:lineRule="exact"/>
              <w:jc w:val="center"/>
              <w:rPr>
                <w:rFonts w:hint="eastAsia" w:ascii="方正黑体简体" w:hAnsi="宋体" w:eastAsia="方正黑体简体"/>
                <w:sz w:val="24"/>
                <w:szCs w:val="20"/>
              </w:rPr>
            </w:pPr>
            <w:r>
              <w:rPr>
                <w:rFonts w:hint="eastAsia" w:ascii="方正黑体简体" w:hAnsi="宋体" w:eastAsia="方正黑体简体"/>
                <w:sz w:val="24"/>
                <w:szCs w:val="20"/>
              </w:rPr>
              <w:t>单位名称</w:t>
            </w:r>
          </w:p>
        </w:tc>
        <w:tc>
          <w:tcPr>
            <w:tcW w:w="1664" w:type="dxa"/>
            <w:vAlign w:val="center"/>
          </w:tcPr>
          <w:p w14:paraId="37F2BAC2">
            <w:pPr>
              <w:spacing w:line="360" w:lineRule="exact"/>
              <w:jc w:val="center"/>
              <w:rPr>
                <w:rFonts w:hint="eastAsia" w:ascii="方正黑体简体" w:hAnsi="宋体" w:eastAsia="方正黑体简体"/>
                <w:sz w:val="24"/>
                <w:szCs w:val="20"/>
              </w:rPr>
            </w:pPr>
            <w:r>
              <w:rPr>
                <w:rFonts w:hint="eastAsia" w:ascii="方正黑体简体" w:hAnsi="宋体" w:eastAsia="方正黑体简体"/>
                <w:sz w:val="24"/>
                <w:szCs w:val="20"/>
              </w:rPr>
              <w:t>姓  名</w:t>
            </w:r>
          </w:p>
        </w:tc>
        <w:tc>
          <w:tcPr>
            <w:tcW w:w="2634" w:type="dxa"/>
            <w:vAlign w:val="center"/>
          </w:tcPr>
          <w:p w14:paraId="0CBEE15C">
            <w:pPr>
              <w:spacing w:line="360" w:lineRule="exact"/>
              <w:jc w:val="center"/>
              <w:rPr>
                <w:rFonts w:hint="eastAsia" w:ascii="方正黑体简体" w:hAnsi="宋体" w:eastAsia="方正黑体简体"/>
                <w:sz w:val="24"/>
                <w:szCs w:val="20"/>
              </w:rPr>
            </w:pPr>
            <w:r>
              <w:rPr>
                <w:rFonts w:hint="eastAsia" w:ascii="方正黑体简体" w:hAnsi="宋体" w:eastAsia="方正黑体简体"/>
                <w:sz w:val="24"/>
                <w:szCs w:val="20"/>
              </w:rPr>
              <w:t>联系电话</w:t>
            </w:r>
          </w:p>
        </w:tc>
      </w:tr>
      <w:tr w14:paraId="205A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1FF1298F">
            <w:pPr>
              <w:spacing w:line="360" w:lineRule="exact"/>
              <w:jc w:val="center"/>
              <w:rPr>
                <w:rFonts w:eastAsia="方正仿宋简体"/>
                <w:sz w:val="24"/>
                <w:szCs w:val="24"/>
              </w:rPr>
            </w:pPr>
            <w:r>
              <w:rPr>
                <w:rFonts w:eastAsia="方正仿宋简体"/>
                <w:sz w:val="24"/>
                <w:szCs w:val="24"/>
              </w:rPr>
              <w:t>1</w:t>
            </w:r>
          </w:p>
        </w:tc>
        <w:tc>
          <w:tcPr>
            <w:tcW w:w="3411" w:type="dxa"/>
            <w:vAlign w:val="center"/>
          </w:tcPr>
          <w:p w14:paraId="4C2316FD">
            <w:pPr>
              <w:spacing w:line="360" w:lineRule="exact"/>
              <w:jc w:val="center"/>
              <w:rPr>
                <w:rFonts w:eastAsia="方正仿宋简体"/>
                <w:sz w:val="24"/>
                <w:szCs w:val="24"/>
              </w:rPr>
            </w:pPr>
            <w:r>
              <w:rPr>
                <w:rFonts w:eastAsia="方正仿宋简体"/>
                <w:sz w:val="24"/>
                <w:szCs w:val="24"/>
              </w:rPr>
              <w:t>县</w:t>
            </w:r>
            <w:r>
              <w:rPr>
                <w:rFonts w:hint="eastAsia" w:eastAsia="方正仿宋简体"/>
                <w:sz w:val="24"/>
                <w:szCs w:val="24"/>
              </w:rPr>
              <w:t>水务</w:t>
            </w:r>
            <w:r>
              <w:rPr>
                <w:rFonts w:eastAsia="方正仿宋简体"/>
                <w:sz w:val="24"/>
                <w:szCs w:val="24"/>
              </w:rPr>
              <w:t>公司</w:t>
            </w:r>
          </w:p>
        </w:tc>
        <w:tc>
          <w:tcPr>
            <w:tcW w:w="1664" w:type="dxa"/>
            <w:vAlign w:val="center"/>
          </w:tcPr>
          <w:p w14:paraId="03BD243F">
            <w:pPr>
              <w:spacing w:line="360" w:lineRule="exact"/>
              <w:jc w:val="center"/>
              <w:rPr>
                <w:rFonts w:eastAsia="方正仿宋简体"/>
                <w:sz w:val="24"/>
                <w:szCs w:val="24"/>
              </w:rPr>
            </w:pPr>
            <w:r>
              <w:rPr>
                <w:rFonts w:eastAsia="方正仿宋简体"/>
                <w:sz w:val="24"/>
                <w:szCs w:val="24"/>
              </w:rPr>
              <w:t>张海樟</w:t>
            </w:r>
          </w:p>
        </w:tc>
        <w:tc>
          <w:tcPr>
            <w:tcW w:w="2634" w:type="dxa"/>
            <w:vAlign w:val="center"/>
          </w:tcPr>
          <w:p w14:paraId="404468C4">
            <w:pPr>
              <w:spacing w:line="360" w:lineRule="exact"/>
              <w:jc w:val="center"/>
              <w:rPr>
                <w:rFonts w:eastAsia="方正仿宋简体"/>
                <w:sz w:val="24"/>
                <w:szCs w:val="24"/>
              </w:rPr>
            </w:pPr>
            <w:r>
              <w:rPr>
                <w:rFonts w:eastAsia="方正仿宋简体"/>
                <w:sz w:val="24"/>
                <w:szCs w:val="24"/>
              </w:rPr>
              <w:t>18060138337</w:t>
            </w:r>
          </w:p>
        </w:tc>
      </w:tr>
      <w:tr w14:paraId="1AB2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3A05B371">
            <w:pPr>
              <w:spacing w:line="360" w:lineRule="exact"/>
              <w:jc w:val="center"/>
              <w:rPr>
                <w:rFonts w:eastAsia="方正仿宋简体"/>
                <w:sz w:val="24"/>
                <w:szCs w:val="24"/>
              </w:rPr>
            </w:pPr>
            <w:r>
              <w:rPr>
                <w:rFonts w:eastAsia="方正仿宋简体"/>
                <w:sz w:val="24"/>
                <w:szCs w:val="24"/>
              </w:rPr>
              <w:t>2</w:t>
            </w:r>
          </w:p>
        </w:tc>
        <w:tc>
          <w:tcPr>
            <w:tcW w:w="3411" w:type="dxa"/>
            <w:vAlign w:val="center"/>
          </w:tcPr>
          <w:p w14:paraId="226851CE">
            <w:pPr>
              <w:spacing w:line="360" w:lineRule="exact"/>
              <w:jc w:val="center"/>
              <w:rPr>
                <w:rFonts w:eastAsia="方正仿宋简体"/>
                <w:sz w:val="24"/>
                <w:szCs w:val="24"/>
              </w:rPr>
            </w:pPr>
            <w:r>
              <w:rPr>
                <w:rFonts w:eastAsia="方正仿宋简体"/>
                <w:sz w:val="24"/>
                <w:szCs w:val="24"/>
              </w:rPr>
              <w:t>洞天岩水库管理处</w:t>
            </w:r>
          </w:p>
        </w:tc>
        <w:tc>
          <w:tcPr>
            <w:tcW w:w="1664" w:type="dxa"/>
            <w:vAlign w:val="center"/>
          </w:tcPr>
          <w:p w14:paraId="4E2ACA45">
            <w:pPr>
              <w:spacing w:line="360" w:lineRule="exact"/>
              <w:jc w:val="center"/>
              <w:rPr>
                <w:rFonts w:eastAsia="方正仿宋简体"/>
                <w:sz w:val="24"/>
                <w:szCs w:val="24"/>
              </w:rPr>
            </w:pPr>
            <w:r>
              <w:rPr>
                <w:rFonts w:eastAsia="方正仿宋简体"/>
                <w:sz w:val="24"/>
                <w:szCs w:val="24"/>
              </w:rPr>
              <w:t>曹声武</w:t>
            </w:r>
          </w:p>
        </w:tc>
        <w:tc>
          <w:tcPr>
            <w:tcW w:w="2634" w:type="dxa"/>
            <w:vAlign w:val="center"/>
          </w:tcPr>
          <w:p w14:paraId="41C88D42">
            <w:pPr>
              <w:spacing w:line="360" w:lineRule="exact"/>
              <w:jc w:val="center"/>
              <w:rPr>
                <w:rFonts w:eastAsia="方正仿宋简体"/>
                <w:sz w:val="24"/>
                <w:szCs w:val="24"/>
              </w:rPr>
            </w:pPr>
            <w:r>
              <w:rPr>
                <w:rFonts w:eastAsia="方正仿宋简体"/>
                <w:sz w:val="24"/>
                <w:szCs w:val="24"/>
              </w:rPr>
              <w:t>13859184758</w:t>
            </w:r>
          </w:p>
        </w:tc>
      </w:tr>
      <w:tr w14:paraId="658E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15FA90B0">
            <w:pPr>
              <w:spacing w:line="360" w:lineRule="exact"/>
              <w:jc w:val="center"/>
              <w:rPr>
                <w:rFonts w:eastAsia="方正仿宋简体"/>
                <w:sz w:val="24"/>
                <w:szCs w:val="24"/>
              </w:rPr>
            </w:pPr>
            <w:r>
              <w:rPr>
                <w:rFonts w:eastAsia="方正仿宋简体"/>
                <w:sz w:val="24"/>
                <w:szCs w:val="24"/>
              </w:rPr>
              <w:t>3</w:t>
            </w:r>
          </w:p>
        </w:tc>
        <w:tc>
          <w:tcPr>
            <w:tcW w:w="3411" w:type="dxa"/>
            <w:vAlign w:val="center"/>
          </w:tcPr>
          <w:p w14:paraId="14A3494D">
            <w:pPr>
              <w:spacing w:line="360" w:lineRule="exact"/>
              <w:jc w:val="center"/>
              <w:rPr>
                <w:rFonts w:eastAsia="方正仿宋简体"/>
                <w:sz w:val="24"/>
                <w:szCs w:val="24"/>
              </w:rPr>
            </w:pPr>
            <w:r>
              <w:rPr>
                <w:rFonts w:eastAsia="方正仿宋简体"/>
                <w:sz w:val="24"/>
                <w:szCs w:val="24"/>
              </w:rPr>
              <w:t>洞天岩水厂</w:t>
            </w:r>
          </w:p>
        </w:tc>
        <w:tc>
          <w:tcPr>
            <w:tcW w:w="1664" w:type="dxa"/>
            <w:vAlign w:val="center"/>
          </w:tcPr>
          <w:p w14:paraId="4BA26FA0">
            <w:pPr>
              <w:spacing w:line="360" w:lineRule="exact"/>
              <w:jc w:val="center"/>
              <w:rPr>
                <w:rFonts w:eastAsia="方正仿宋简体"/>
                <w:sz w:val="24"/>
                <w:szCs w:val="24"/>
              </w:rPr>
            </w:pPr>
            <w:r>
              <w:rPr>
                <w:rFonts w:eastAsia="方正仿宋简体"/>
                <w:sz w:val="24"/>
                <w:szCs w:val="24"/>
              </w:rPr>
              <w:t>许华</w:t>
            </w:r>
          </w:p>
        </w:tc>
        <w:tc>
          <w:tcPr>
            <w:tcW w:w="2634" w:type="dxa"/>
            <w:vAlign w:val="center"/>
          </w:tcPr>
          <w:p w14:paraId="4B11E54D">
            <w:pPr>
              <w:spacing w:line="360" w:lineRule="exact"/>
              <w:jc w:val="center"/>
              <w:rPr>
                <w:rFonts w:eastAsia="方正仿宋简体"/>
                <w:sz w:val="24"/>
                <w:szCs w:val="24"/>
              </w:rPr>
            </w:pPr>
            <w:r>
              <w:rPr>
                <w:rFonts w:eastAsia="方正仿宋简体"/>
                <w:sz w:val="24"/>
                <w:szCs w:val="24"/>
              </w:rPr>
              <w:t>18060139502</w:t>
            </w:r>
          </w:p>
        </w:tc>
      </w:tr>
      <w:tr w14:paraId="5C81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7AEECF46">
            <w:pPr>
              <w:spacing w:line="360" w:lineRule="exact"/>
              <w:jc w:val="center"/>
              <w:rPr>
                <w:rFonts w:eastAsia="方正仿宋简体"/>
                <w:sz w:val="24"/>
                <w:szCs w:val="24"/>
              </w:rPr>
            </w:pPr>
            <w:r>
              <w:rPr>
                <w:rFonts w:eastAsia="方正仿宋简体"/>
                <w:sz w:val="24"/>
                <w:szCs w:val="24"/>
              </w:rPr>
              <w:t>4</w:t>
            </w:r>
          </w:p>
        </w:tc>
        <w:tc>
          <w:tcPr>
            <w:tcW w:w="3411" w:type="dxa"/>
            <w:vAlign w:val="center"/>
          </w:tcPr>
          <w:p w14:paraId="188C15C0">
            <w:pPr>
              <w:spacing w:line="360" w:lineRule="exact"/>
              <w:jc w:val="center"/>
              <w:rPr>
                <w:rFonts w:eastAsia="方正仿宋简体"/>
                <w:sz w:val="24"/>
                <w:szCs w:val="24"/>
              </w:rPr>
            </w:pPr>
            <w:r>
              <w:rPr>
                <w:rFonts w:eastAsia="方正仿宋简体"/>
                <w:sz w:val="24"/>
                <w:szCs w:val="24"/>
              </w:rPr>
              <w:t>第二水厂、下洋村水库</w:t>
            </w:r>
          </w:p>
        </w:tc>
        <w:tc>
          <w:tcPr>
            <w:tcW w:w="1664" w:type="dxa"/>
            <w:vAlign w:val="center"/>
          </w:tcPr>
          <w:p w14:paraId="0474C012">
            <w:pPr>
              <w:spacing w:line="360" w:lineRule="exact"/>
              <w:jc w:val="center"/>
              <w:rPr>
                <w:rFonts w:eastAsia="方正仿宋简体"/>
                <w:sz w:val="24"/>
                <w:szCs w:val="24"/>
              </w:rPr>
            </w:pPr>
            <w:r>
              <w:rPr>
                <w:rFonts w:eastAsia="方正仿宋简体"/>
                <w:sz w:val="24"/>
                <w:szCs w:val="24"/>
              </w:rPr>
              <w:t>刘小炬</w:t>
            </w:r>
          </w:p>
        </w:tc>
        <w:tc>
          <w:tcPr>
            <w:tcW w:w="2634" w:type="dxa"/>
            <w:vAlign w:val="center"/>
          </w:tcPr>
          <w:p w14:paraId="280095E0">
            <w:pPr>
              <w:spacing w:line="360" w:lineRule="exact"/>
              <w:jc w:val="center"/>
              <w:rPr>
                <w:rFonts w:eastAsia="方正仿宋简体"/>
                <w:sz w:val="24"/>
                <w:szCs w:val="24"/>
              </w:rPr>
            </w:pPr>
            <w:r>
              <w:rPr>
                <w:rFonts w:eastAsia="方正仿宋简体"/>
                <w:sz w:val="24"/>
                <w:szCs w:val="24"/>
              </w:rPr>
              <w:t>13328900660</w:t>
            </w:r>
          </w:p>
        </w:tc>
      </w:tr>
      <w:tr w14:paraId="26F4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77987AAF">
            <w:pPr>
              <w:spacing w:line="360" w:lineRule="exact"/>
              <w:jc w:val="center"/>
              <w:rPr>
                <w:rFonts w:eastAsia="方正仿宋简体"/>
                <w:sz w:val="24"/>
                <w:szCs w:val="24"/>
              </w:rPr>
            </w:pPr>
            <w:r>
              <w:rPr>
                <w:rFonts w:eastAsia="方正仿宋简体"/>
                <w:sz w:val="24"/>
                <w:szCs w:val="24"/>
              </w:rPr>
              <w:t>5</w:t>
            </w:r>
          </w:p>
        </w:tc>
        <w:tc>
          <w:tcPr>
            <w:tcW w:w="3411" w:type="dxa"/>
            <w:vAlign w:val="center"/>
          </w:tcPr>
          <w:p w14:paraId="538F56F6">
            <w:pPr>
              <w:spacing w:line="360" w:lineRule="exact"/>
              <w:jc w:val="center"/>
              <w:rPr>
                <w:rFonts w:eastAsia="方正仿宋简体"/>
                <w:sz w:val="24"/>
                <w:szCs w:val="24"/>
              </w:rPr>
            </w:pPr>
            <w:r>
              <w:rPr>
                <w:rFonts w:eastAsia="方正仿宋简体"/>
                <w:sz w:val="24"/>
                <w:szCs w:val="24"/>
              </w:rPr>
              <w:t>第三水厂、马岩水库</w:t>
            </w:r>
          </w:p>
        </w:tc>
        <w:tc>
          <w:tcPr>
            <w:tcW w:w="1664" w:type="dxa"/>
            <w:vAlign w:val="center"/>
          </w:tcPr>
          <w:p w14:paraId="7933CA46">
            <w:pPr>
              <w:spacing w:line="360" w:lineRule="exact"/>
              <w:jc w:val="center"/>
              <w:rPr>
                <w:rFonts w:eastAsia="方正仿宋简体"/>
                <w:sz w:val="24"/>
                <w:szCs w:val="24"/>
              </w:rPr>
            </w:pPr>
            <w:r>
              <w:rPr>
                <w:rFonts w:eastAsia="方正仿宋简体"/>
                <w:sz w:val="24"/>
                <w:szCs w:val="24"/>
              </w:rPr>
              <w:t>余克立</w:t>
            </w:r>
          </w:p>
        </w:tc>
        <w:tc>
          <w:tcPr>
            <w:tcW w:w="2634" w:type="dxa"/>
            <w:vAlign w:val="center"/>
          </w:tcPr>
          <w:p w14:paraId="721AA470">
            <w:pPr>
              <w:spacing w:line="360" w:lineRule="exact"/>
              <w:jc w:val="center"/>
              <w:rPr>
                <w:rFonts w:eastAsia="方正仿宋简体"/>
                <w:sz w:val="24"/>
                <w:szCs w:val="24"/>
              </w:rPr>
            </w:pPr>
            <w:r>
              <w:rPr>
                <w:rFonts w:eastAsia="方正仿宋简体"/>
                <w:sz w:val="24"/>
                <w:szCs w:val="24"/>
              </w:rPr>
              <w:t>18060139289</w:t>
            </w:r>
          </w:p>
        </w:tc>
      </w:tr>
      <w:tr w14:paraId="25F7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4F4CA11D">
            <w:pPr>
              <w:spacing w:line="360" w:lineRule="exact"/>
              <w:jc w:val="center"/>
              <w:rPr>
                <w:rFonts w:eastAsia="方正仿宋简体"/>
                <w:sz w:val="24"/>
                <w:szCs w:val="24"/>
              </w:rPr>
            </w:pPr>
            <w:r>
              <w:rPr>
                <w:rFonts w:eastAsia="方正仿宋简体"/>
                <w:sz w:val="24"/>
                <w:szCs w:val="24"/>
              </w:rPr>
              <w:t>6</w:t>
            </w:r>
          </w:p>
        </w:tc>
        <w:tc>
          <w:tcPr>
            <w:tcW w:w="3411" w:type="dxa"/>
            <w:vAlign w:val="center"/>
          </w:tcPr>
          <w:p w14:paraId="1306B655">
            <w:pPr>
              <w:spacing w:line="360" w:lineRule="exact"/>
              <w:jc w:val="center"/>
              <w:rPr>
                <w:rFonts w:eastAsia="方正仿宋简体"/>
                <w:sz w:val="24"/>
                <w:szCs w:val="24"/>
              </w:rPr>
            </w:pPr>
            <w:r>
              <w:rPr>
                <w:rFonts w:eastAsia="方正仿宋简体"/>
                <w:sz w:val="24"/>
                <w:szCs w:val="24"/>
              </w:rPr>
              <w:t>双溪水库</w:t>
            </w:r>
          </w:p>
        </w:tc>
        <w:tc>
          <w:tcPr>
            <w:tcW w:w="1664" w:type="dxa"/>
            <w:vAlign w:val="center"/>
          </w:tcPr>
          <w:p w14:paraId="1F8EB4AF">
            <w:pPr>
              <w:spacing w:line="360" w:lineRule="exact"/>
              <w:jc w:val="center"/>
              <w:rPr>
                <w:rFonts w:eastAsia="方正仿宋简体"/>
                <w:sz w:val="24"/>
                <w:szCs w:val="24"/>
              </w:rPr>
            </w:pPr>
            <w:r>
              <w:rPr>
                <w:rFonts w:eastAsia="方正仿宋简体"/>
                <w:sz w:val="24"/>
                <w:szCs w:val="24"/>
              </w:rPr>
              <w:t>黄水发</w:t>
            </w:r>
          </w:p>
        </w:tc>
        <w:tc>
          <w:tcPr>
            <w:tcW w:w="2634" w:type="dxa"/>
            <w:vAlign w:val="center"/>
          </w:tcPr>
          <w:p w14:paraId="2077B71D">
            <w:pPr>
              <w:spacing w:line="360" w:lineRule="exact"/>
              <w:jc w:val="center"/>
              <w:rPr>
                <w:rFonts w:eastAsia="方正仿宋简体"/>
                <w:sz w:val="24"/>
                <w:szCs w:val="24"/>
              </w:rPr>
            </w:pPr>
            <w:r>
              <w:rPr>
                <w:rFonts w:eastAsia="方正仿宋简体"/>
                <w:sz w:val="24"/>
                <w:szCs w:val="24"/>
              </w:rPr>
              <w:t>13559893398</w:t>
            </w:r>
          </w:p>
        </w:tc>
      </w:tr>
      <w:tr w14:paraId="2772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4A38B685">
            <w:pPr>
              <w:spacing w:line="360" w:lineRule="exact"/>
              <w:jc w:val="center"/>
              <w:rPr>
                <w:rFonts w:eastAsia="方正仿宋简体"/>
                <w:sz w:val="24"/>
                <w:szCs w:val="24"/>
              </w:rPr>
            </w:pPr>
            <w:r>
              <w:rPr>
                <w:rFonts w:eastAsia="方正仿宋简体"/>
                <w:sz w:val="24"/>
                <w:szCs w:val="24"/>
              </w:rPr>
              <w:t>7</w:t>
            </w:r>
          </w:p>
        </w:tc>
        <w:tc>
          <w:tcPr>
            <w:tcW w:w="3411" w:type="dxa"/>
            <w:vAlign w:val="center"/>
          </w:tcPr>
          <w:p w14:paraId="083BE240">
            <w:pPr>
              <w:spacing w:line="360" w:lineRule="exact"/>
              <w:jc w:val="center"/>
              <w:rPr>
                <w:rFonts w:eastAsia="方正仿宋简体"/>
                <w:sz w:val="24"/>
                <w:szCs w:val="24"/>
              </w:rPr>
            </w:pPr>
            <w:r>
              <w:rPr>
                <w:rFonts w:eastAsia="方正仿宋简体"/>
                <w:sz w:val="24"/>
                <w:szCs w:val="24"/>
              </w:rPr>
              <w:t>新城南水厂</w:t>
            </w:r>
          </w:p>
        </w:tc>
        <w:tc>
          <w:tcPr>
            <w:tcW w:w="1664" w:type="dxa"/>
            <w:vAlign w:val="center"/>
          </w:tcPr>
          <w:p w14:paraId="472B22F7">
            <w:pPr>
              <w:spacing w:line="360" w:lineRule="exact"/>
              <w:jc w:val="center"/>
              <w:rPr>
                <w:rFonts w:eastAsia="方正仿宋简体"/>
                <w:sz w:val="24"/>
                <w:szCs w:val="24"/>
              </w:rPr>
            </w:pPr>
            <w:r>
              <w:rPr>
                <w:rFonts w:eastAsia="方正仿宋简体"/>
                <w:sz w:val="24"/>
                <w:szCs w:val="24"/>
              </w:rPr>
              <w:t>陈红兵</w:t>
            </w:r>
          </w:p>
        </w:tc>
        <w:tc>
          <w:tcPr>
            <w:tcW w:w="2634" w:type="dxa"/>
            <w:vAlign w:val="center"/>
          </w:tcPr>
          <w:p w14:paraId="2842FAA3">
            <w:pPr>
              <w:spacing w:line="360" w:lineRule="exact"/>
              <w:jc w:val="center"/>
              <w:rPr>
                <w:rFonts w:eastAsia="方正仿宋简体"/>
                <w:sz w:val="24"/>
                <w:szCs w:val="24"/>
              </w:rPr>
            </w:pPr>
            <w:r>
              <w:rPr>
                <w:rFonts w:eastAsia="方正仿宋简体"/>
                <w:sz w:val="24"/>
                <w:szCs w:val="24"/>
              </w:rPr>
              <w:t>13850827556</w:t>
            </w:r>
          </w:p>
        </w:tc>
      </w:tr>
      <w:tr w14:paraId="6FA9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33C6C8C9">
            <w:pPr>
              <w:spacing w:line="360" w:lineRule="exact"/>
              <w:jc w:val="center"/>
              <w:rPr>
                <w:rFonts w:eastAsia="方正仿宋简体"/>
                <w:sz w:val="24"/>
                <w:szCs w:val="24"/>
              </w:rPr>
            </w:pPr>
            <w:r>
              <w:rPr>
                <w:rFonts w:eastAsia="方正仿宋简体"/>
                <w:sz w:val="24"/>
                <w:szCs w:val="24"/>
              </w:rPr>
              <w:t>8</w:t>
            </w:r>
          </w:p>
        </w:tc>
        <w:tc>
          <w:tcPr>
            <w:tcW w:w="3411" w:type="dxa"/>
            <w:vAlign w:val="center"/>
          </w:tcPr>
          <w:p w14:paraId="7602EE97">
            <w:pPr>
              <w:spacing w:line="360" w:lineRule="exact"/>
              <w:jc w:val="center"/>
              <w:rPr>
                <w:rFonts w:eastAsia="方正仿宋简体"/>
                <w:sz w:val="24"/>
                <w:szCs w:val="24"/>
              </w:rPr>
            </w:pPr>
            <w:r>
              <w:rPr>
                <w:rFonts w:eastAsia="方正仿宋简体"/>
                <w:sz w:val="24"/>
                <w:szCs w:val="24"/>
              </w:rPr>
              <w:t>夏茂镇政府</w:t>
            </w:r>
          </w:p>
        </w:tc>
        <w:tc>
          <w:tcPr>
            <w:tcW w:w="1664" w:type="dxa"/>
            <w:vAlign w:val="center"/>
          </w:tcPr>
          <w:p w14:paraId="0FD1B6CF">
            <w:pPr>
              <w:spacing w:line="360" w:lineRule="exact"/>
              <w:jc w:val="center"/>
              <w:rPr>
                <w:rFonts w:eastAsia="方正仿宋简体"/>
                <w:sz w:val="24"/>
                <w:szCs w:val="24"/>
              </w:rPr>
            </w:pPr>
            <w:r>
              <w:rPr>
                <w:rFonts w:eastAsia="方正仿宋简体"/>
                <w:sz w:val="24"/>
                <w:szCs w:val="24"/>
              </w:rPr>
              <w:t>罗光波</w:t>
            </w:r>
          </w:p>
        </w:tc>
        <w:tc>
          <w:tcPr>
            <w:tcW w:w="2634" w:type="dxa"/>
            <w:vAlign w:val="center"/>
          </w:tcPr>
          <w:p w14:paraId="62E73DC5">
            <w:pPr>
              <w:spacing w:line="360" w:lineRule="exact"/>
              <w:jc w:val="center"/>
              <w:rPr>
                <w:rFonts w:eastAsia="方正仿宋简体"/>
                <w:sz w:val="24"/>
                <w:szCs w:val="24"/>
              </w:rPr>
            </w:pPr>
            <w:r>
              <w:rPr>
                <w:rFonts w:eastAsia="方正仿宋简体"/>
                <w:sz w:val="24"/>
                <w:szCs w:val="24"/>
              </w:rPr>
              <w:t>13850811068</w:t>
            </w:r>
          </w:p>
        </w:tc>
      </w:tr>
      <w:tr w14:paraId="2671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4A45E1BF">
            <w:pPr>
              <w:spacing w:line="360" w:lineRule="exact"/>
              <w:jc w:val="center"/>
              <w:rPr>
                <w:rFonts w:eastAsia="方正仿宋简体"/>
                <w:sz w:val="24"/>
                <w:szCs w:val="24"/>
              </w:rPr>
            </w:pPr>
            <w:r>
              <w:rPr>
                <w:rFonts w:eastAsia="方正仿宋简体"/>
                <w:sz w:val="24"/>
                <w:szCs w:val="24"/>
              </w:rPr>
              <w:t>9</w:t>
            </w:r>
          </w:p>
        </w:tc>
        <w:tc>
          <w:tcPr>
            <w:tcW w:w="3411" w:type="dxa"/>
            <w:vAlign w:val="center"/>
          </w:tcPr>
          <w:p w14:paraId="68CE9945">
            <w:pPr>
              <w:spacing w:line="360" w:lineRule="exact"/>
              <w:jc w:val="center"/>
              <w:rPr>
                <w:rFonts w:eastAsia="方正仿宋简体"/>
                <w:sz w:val="24"/>
                <w:szCs w:val="24"/>
              </w:rPr>
            </w:pPr>
            <w:r>
              <w:rPr>
                <w:rFonts w:eastAsia="方正仿宋简体"/>
                <w:sz w:val="24"/>
                <w:szCs w:val="24"/>
              </w:rPr>
              <w:t>青州镇政府</w:t>
            </w:r>
          </w:p>
        </w:tc>
        <w:tc>
          <w:tcPr>
            <w:tcW w:w="1664" w:type="dxa"/>
            <w:vAlign w:val="center"/>
          </w:tcPr>
          <w:p w14:paraId="689014D2">
            <w:pPr>
              <w:spacing w:line="360" w:lineRule="exact"/>
              <w:jc w:val="center"/>
              <w:rPr>
                <w:rFonts w:eastAsia="方正仿宋简体"/>
                <w:sz w:val="24"/>
                <w:szCs w:val="24"/>
              </w:rPr>
            </w:pPr>
            <w:r>
              <w:rPr>
                <w:rFonts w:eastAsia="方正仿宋简体"/>
                <w:sz w:val="24"/>
                <w:szCs w:val="24"/>
              </w:rPr>
              <w:t>吴文钱</w:t>
            </w:r>
          </w:p>
        </w:tc>
        <w:tc>
          <w:tcPr>
            <w:tcW w:w="2634" w:type="dxa"/>
            <w:vAlign w:val="center"/>
          </w:tcPr>
          <w:p w14:paraId="56B760F1">
            <w:pPr>
              <w:spacing w:line="360" w:lineRule="exact"/>
              <w:jc w:val="center"/>
              <w:rPr>
                <w:rFonts w:eastAsia="方正仿宋简体"/>
                <w:sz w:val="24"/>
                <w:szCs w:val="24"/>
              </w:rPr>
            </w:pPr>
            <w:r>
              <w:rPr>
                <w:rFonts w:eastAsia="方正仿宋简体"/>
                <w:sz w:val="24"/>
                <w:szCs w:val="24"/>
              </w:rPr>
              <w:t>15160638018</w:t>
            </w:r>
          </w:p>
        </w:tc>
      </w:tr>
      <w:tr w14:paraId="02EA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70238266">
            <w:pPr>
              <w:spacing w:line="360" w:lineRule="exact"/>
              <w:jc w:val="center"/>
              <w:rPr>
                <w:rFonts w:eastAsia="方正仿宋简体"/>
                <w:sz w:val="24"/>
                <w:szCs w:val="24"/>
              </w:rPr>
            </w:pPr>
            <w:r>
              <w:rPr>
                <w:rFonts w:eastAsia="方正仿宋简体"/>
                <w:sz w:val="24"/>
                <w:szCs w:val="24"/>
              </w:rPr>
              <w:t>10</w:t>
            </w:r>
          </w:p>
        </w:tc>
        <w:tc>
          <w:tcPr>
            <w:tcW w:w="3411" w:type="dxa"/>
            <w:vAlign w:val="center"/>
          </w:tcPr>
          <w:p w14:paraId="69B93F4B">
            <w:pPr>
              <w:spacing w:line="360" w:lineRule="exact"/>
              <w:jc w:val="center"/>
              <w:rPr>
                <w:rFonts w:eastAsia="方正仿宋简体"/>
                <w:sz w:val="24"/>
                <w:szCs w:val="24"/>
              </w:rPr>
            </w:pPr>
            <w:r>
              <w:rPr>
                <w:rFonts w:eastAsia="方正仿宋简体"/>
                <w:sz w:val="24"/>
                <w:szCs w:val="24"/>
              </w:rPr>
              <w:t>高砂镇政府</w:t>
            </w:r>
          </w:p>
        </w:tc>
        <w:tc>
          <w:tcPr>
            <w:tcW w:w="1664" w:type="dxa"/>
            <w:vAlign w:val="center"/>
          </w:tcPr>
          <w:p w14:paraId="46E63266">
            <w:pPr>
              <w:spacing w:line="360" w:lineRule="exact"/>
              <w:jc w:val="center"/>
              <w:rPr>
                <w:rFonts w:eastAsia="方正仿宋简体"/>
                <w:sz w:val="24"/>
                <w:szCs w:val="24"/>
              </w:rPr>
            </w:pPr>
            <w:r>
              <w:rPr>
                <w:rFonts w:eastAsia="方正仿宋简体"/>
                <w:sz w:val="24"/>
                <w:szCs w:val="24"/>
              </w:rPr>
              <w:t>邓何潇</w:t>
            </w:r>
          </w:p>
        </w:tc>
        <w:tc>
          <w:tcPr>
            <w:tcW w:w="2634" w:type="dxa"/>
            <w:vAlign w:val="center"/>
          </w:tcPr>
          <w:p w14:paraId="6C4FCD60">
            <w:pPr>
              <w:spacing w:line="360" w:lineRule="exact"/>
              <w:jc w:val="center"/>
              <w:rPr>
                <w:rFonts w:eastAsia="方正仿宋简体"/>
                <w:sz w:val="24"/>
                <w:szCs w:val="24"/>
              </w:rPr>
            </w:pPr>
            <w:r>
              <w:rPr>
                <w:rFonts w:eastAsia="方正仿宋简体"/>
                <w:sz w:val="24"/>
                <w:szCs w:val="24"/>
              </w:rPr>
              <w:t>15259810893</w:t>
            </w:r>
          </w:p>
        </w:tc>
      </w:tr>
      <w:tr w14:paraId="0275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4FBD8E30">
            <w:pPr>
              <w:spacing w:line="360" w:lineRule="exact"/>
              <w:jc w:val="center"/>
              <w:rPr>
                <w:rFonts w:eastAsia="方正仿宋简体"/>
                <w:sz w:val="24"/>
                <w:szCs w:val="24"/>
              </w:rPr>
            </w:pPr>
            <w:r>
              <w:rPr>
                <w:rFonts w:eastAsia="方正仿宋简体"/>
                <w:sz w:val="24"/>
                <w:szCs w:val="24"/>
              </w:rPr>
              <w:t>11</w:t>
            </w:r>
          </w:p>
        </w:tc>
        <w:tc>
          <w:tcPr>
            <w:tcW w:w="3411" w:type="dxa"/>
            <w:vAlign w:val="center"/>
          </w:tcPr>
          <w:p w14:paraId="076343D5">
            <w:pPr>
              <w:spacing w:line="360" w:lineRule="exact"/>
              <w:jc w:val="center"/>
              <w:rPr>
                <w:rFonts w:eastAsia="方正仿宋简体"/>
                <w:sz w:val="24"/>
                <w:szCs w:val="24"/>
              </w:rPr>
            </w:pPr>
            <w:r>
              <w:rPr>
                <w:rFonts w:eastAsia="方正仿宋简体"/>
                <w:sz w:val="24"/>
                <w:szCs w:val="24"/>
              </w:rPr>
              <w:t>高桥镇政府</w:t>
            </w:r>
          </w:p>
        </w:tc>
        <w:tc>
          <w:tcPr>
            <w:tcW w:w="1664" w:type="dxa"/>
            <w:vAlign w:val="center"/>
          </w:tcPr>
          <w:p w14:paraId="222F9C0C">
            <w:pPr>
              <w:spacing w:line="360" w:lineRule="exact"/>
              <w:jc w:val="center"/>
              <w:rPr>
                <w:rFonts w:eastAsia="方正仿宋简体"/>
                <w:sz w:val="24"/>
                <w:szCs w:val="24"/>
              </w:rPr>
            </w:pPr>
            <w:r>
              <w:rPr>
                <w:rFonts w:eastAsia="方正仿宋简体"/>
                <w:sz w:val="24"/>
                <w:szCs w:val="24"/>
              </w:rPr>
              <w:t>朱仕清</w:t>
            </w:r>
          </w:p>
        </w:tc>
        <w:tc>
          <w:tcPr>
            <w:tcW w:w="2634" w:type="dxa"/>
            <w:vAlign w:val="center"/>
          </w:tcPr>
          <w:p w14:paraId="399A0681">
            <w:pPr>
              <w:spacing w:line="360" w:lineRule="exact"/>
              <w:jc w:val="center"/>
              <w:rPr>
                <w:rFonts w:eastAsia="方正仿宋简体"/>
                <w:sz w:val="24"/>
                <w:szCs w:val="24"/>
              </w:rPr>
            </w:pPr>
            <w:r>
              <w:rPr>
                <w:rFonts w:eastAsia="方正仿宋简体"/>
                <w:sz w:val="24"/>
                <w:szCs w:val="24"/>
              </w:rPr>
              <w:t>13159383839</w:t>
            </w:r>
          </w:p>
        </w:tc>
      </w:tr>
      <w:tr w14:paraId="0886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5D6A5A4A">
            <w:pPr>
              <w:spacing w:line="360" w:lineRule="exact"/>
              <w:jc w:val="center"/>
              <w:rPr>
                <w:rFonts w:eastAsia="方正仿宋简体"/>
                <w:sz w:val="24"/>
                <w:szCs w:val="24"/>
              </w:rPr>
            </w:pPr>
            <w:r>
              <w:rPr>
                <w:rFonts w:eastAsia="方正仿宋简体"/>
                <w:sz w:val="24"/>
                <w:szCs w:val="24"/>
              </w:rPr>
              <w:t>12</w:t>
            </w:r>
          </w:p>
        </w:tc>
        <w:tc>
          <w:tcPr>
            <w:tcW w:w="3411" w:type="dxa"/>
            <w:vAlign w:val="center"/>
          </w:tcPr>
          <w:p w14:paraId="47080D2C">
            <w:pPr>
              <w:spacing w:line="360" w:lineRule="exact"/>
              <w:jc w:val="center"/>
              <w:rPr>
                <w:rFonts w:eastAsia="方正仿宋简体"/>
                <w:sz w:val="24"/>
                <w:szCs w:val="24"/>
              </w:rPr>
            </w:pPr>
            <w:r>
              <w:rPr>
                <w:rFonts w:eastAsia="方正仿宋简体"/>
                <w:sz w:val="24"/>
                <w:szCs w:val="24"/>
              </w:rPr>
              <w:t>富口镇政府</w:t>
            </w:r>
          </w:p>
        </w:tc>
        <w:tc>
          <w:tcPr>
            <w:tcW w:w="1664" w:type="dxa"/>
            <w:vAlign w:val="center"/>
          </w:tcPr>
          <w:p w14:paraId="58D73BFA">
            <w:pPr>
              <w:spacing w:line="360" w:lineRule="exact"/>
              <w:jc w:val="center"/>
              <w:rPr>
                <w:rFonts w:eastAsia="方正仿宋简体"/>
                <w:sz w:val="24"/>
                <w:szCs w:val="24"/>
              </w:rPr>
            </w:pPr>
            <w:r>
              <w:rPr>
                <w:rFonts w:eastAsia="方正仿宋简体"/>
                <w:sz w:val="24"/>
                <w:szCs w:val="24"/>
              </w:rPr>
              <w:t>高潇</w:t>
            </w:r>
          </w:p>
        </w:tc>
        <w:tc>
          <w:tcPr>
            <w:tcW w:w="2634" w:type="dxa"/>
            <w:vAlign w:val="center"/>
          </w:tcPr>
          <w:p w14:paraId="1D8882DB">
            <w:pPr>
              <w:spacing w:line="360" w:lineRule="exact"/>
              <w:jc w:val="center"/>
              <w:rPr>
                <w:rFonts w:eastAsia="方正仿宋简体"/>
                <w:sz w:val="24"/>
                <w:szCs w:val="24"/>
              </w:rPr>
            </w:pPr>
            <w:r>
              <w:rPr>
                <w:rFonts w:eastAsia="方正仿宋简体"/>
                <w:sz w:val="24"/>
                <w:szCs w:val="24"/>
              </w:rPr>
              <w:t>13860570082</w:t>
            </w:r>
          </w:p>
        </w:tc>
      </w:tr>
      <w:tr w14:paraId="6806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2084CC05">
            <w:pPr>
              <w:spacing w:line="360" w:lineRule="exact"/>
              <w:jc w:val="center"/>
              <w:rPr>
                <w:rFonts w:eastAsia="方正仿宋简体"/>
                <w:sz w:val="24"/>
                <w:szCs w:val="24"/>
              </w:rPr>
            </w:pPr>
            <w:r>
              <w:rPr>
                <w:rFonts w:eastAsia="方正仿宋简体"/>
                <w:sz w:val="24"/>
                <w:szCs w:val="24"/>
              </w:rPr>
              <w:t>13</w:t>
            </w:r>
          </w:p>
        </w:tc>
        <w:tc>
          <w:tcPr>
            <w:tcW w:w="3411" w:type="dxa"/>
            <w:vAlign w:val="center"/>
          </w:tcPr>
          <w:p w14:paraId="6515F486">
            <w:pPr>
              <w:spacing w:line="360" w:lineRule="exact"/>
              <w:jc w:val="center"/>
              <w:rPr>
                <w:rFonts w:eastAsia="方正仿宋简体"/>
                <w:sz w:val="24"/>
                <w:szCs w:val="24"/>
              </w:rPr>
            </w:pPr>
            <w:r>
              <w:rPr>
                <w:rFonts w:eastAsia="方正仿宋简体"/>
                <w:sz w:val="24"/>
                <w:szCs w:val="24"/>
              </w:rPr>
              <w:t>大洛镇政府</w:t>
            </w:r>
          </w:p>
        </w:tc>
        <w:tc>
          <w:tcPr>
            <w:tcW w:w="1664" w:type="dxa"/>
            <w:vAlign w:val="center"/>
          </w:tcPr>
          <w:p w14:paraId="64F7DF0D">
            <w:pPr>
              <w:spacing w:line="360" w:lineRule="exact"/>
              <w:jc w:val="center"/>
              <w:rPr>
                <w:rFonts w:eastAsia="方正仿宋简体"/>
                <w:sz w:val="24"/>
                <w:szCs w:val="24"/>
              </w:rPr>
            </w:pPr>
            <w:r>
              <w:rPr>
                <w:rFonts w:eastAsia="方正仿宋简体"/>
                <w:sz w:val="24"/>
                <w:szCs w:val="24"/>
              </w:rPr>
              <w:t>张克煊</w:t>
            </w:r>
          </w:p>
        </w:tc>
        <w:tc>
          <w:tcPr>
            <w:tcW w:w="2634" w:type="dxa"/>
            <w:vAlign w:val="center"/>
          </w:tcPr>
          <w:p w14:paraId="4F691705">
            <w:pPr>
              <w:spacing w:line="360" w:lineRule="exact"/>
              <w:jc w:val="center"/>
              <w:rPr>
                <w:rFonts w:eastAsia="方正仿宋简体"/>
                <w:sz w:val="24"/>
                <w:szCs w:val="24"/>
              </w:rPr>
            </w:pPr>
            <w:r>
              <w:rPr>
                <w:rFonts w:eastAsia="方正仿宋简体"/>
                <w:sz w:val="24"/>
                <w:szCs w:val="24"/>
              </w:rPr>
              <w:t>15859869972</w:t>
            </w:r>
          </w:p>
        </w:tc>
      </w:tr>
      <w:tr w14:paraId="55AD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2616FF60">
            <w:pPr>
              <w:spacing w:line="360" w:lineRule="exact"/>
              <w:jc w:val="center"/>
              <w:rPr>
                <w:rFonts w:eastAsia="方正仿宋简体"/>
                <w:sz w:val="24"/>
                <w:szCs w:val="24"/>
              </w:rPr>
            </w:pPr>
            <w:r>
              <w:rPr>
                <w:rFonts w:eastAsia="方正仿宋简体"/>
                <w:sz w:val="24"/>
                <w:szCs w:val="24"/>
              </w:rPr>
              <w:t>14</w:t>
            </w:r>
          </w:p>
        </w:tc>
        <w:tc>
          <w:tcPr>
            <w:tcW w:w="3411" w:type="dxa"/>
            <w:vAlign w:val="center"/>
          </w:tcPr>
          <w:p w14:paraId="2DFE2B51">
            <w:pPr>
              <w:spacing w:line="360" w:lineRule="exact"/>
              <w:jc w:val="center"/>
              <w:rPr>
                <w:rFonts w:eastAsia="方正仿宋简体"/>
                <w:sz w:val="24"/>
                <w:szCs w:val="24"/>
              </w:rPr>
            </w:pPr>
            <w:r>
              <w:rPr>
                <w:rFonts w:eastAsia="方正仿宋简体"/>
                <w:sz w:val="24"/>
                <w:szCs w:val="24"/>
              </w:rPr>
              <w:t>南霞乡政府</w:t>
            </w:r>
          </w:p>
        </w:tc>
        <w:tc>
          <w:tcPr>
            <w:tcW w:w="1664" w:type="dxa"/>
            <w:vAlign w:val="center"/>
          </w:tcPr>
          <w:p w14:paraId="69E33355">
            <w:pPr>
              <w:spacing w:line="360" w:lineRule="exact"/>
              <w:jc w:val="center"/>
              <w:rPr>
                <w:rFonts w:eastAsia="方正仿宋简体"/>
                <w:sz w:val="24"/>
                <w:szCs w:val="24"/>
              </w:rPr>
            </w:pPr>
            <w:r>
              <w:rPr>
                <w:rFonts w:eastAsia="方正仿宋简体"/>
                <w:sz w:val="24"/>
                <w:szCs w:val="24"/>
              </w:rPr>
              <w:t>陈炳明</w:t>
            </w:r>
          </w:p>
        </w:tc>
        <w:tc>
          <w:tcPr>
            <w:tcW w:w="2634" w:type="dxa"/>
            <w:vAlign w:val="center"/>
          </w:tcPr>
          <w:p w14:paraId="73F83B7A">
            <w:pPr>
              <w:spacing w:line="360" w:lineRule="exact"/>
              <w:jc w:val="center"/>
              <w:rPr>
                <w:rFonts w:eastAsia="方正仿宋简体"/>
                <w:sz w:val="24"/>
                <w:szCs w:val="24"/>
              </w:rPr>
            </w:pPr>
            <w:r>
              <w:rPr>
                <w:rFonts w:eastAsia="方正仿宋简体"/>
                <w:sz w:val="24"/>
                <w:szCs w:val="24"/>
              </w:rPr>
              <w:t>18259739786</w:t>
            </w:r>
          </w:p>
        </w:tc>
      </w:tr>
      <w:tr w14:paraId="1EF9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6A7D978B">
            <w:pPr>
              <w:spacing w:line="360" w:lineRule="exact"/>
              <w:jc w:val="center"/>
              <w:rPr>
                <w:rFonts w:eastAsia="方正仿宋简体"/>
                <w:sz w:val="24"/>
                <w:szCs w:val="24"/>
              </w:rPr>
            </w:pPr>
            <w:r>
              <w:rPr>
                <w:rFonts w:eastAsia="方正仿宋简体"/>
                <w:sz w:val="24"/>
                <w:szCs w:val="24"/>
              </w:rPr>
              <w:t>15</w:t>
            </w:r>
          </w:p>
        </w:tc>
        <w:tc>
          <w:tcPr>
            <w:tcW w:w="3411" w:type="dxa"/>
            <w:vAlign w:val="center"/>
          </w:tcPr>
          <w:p w14:paraId="7298B808">
            <w:pPr>
              <w:spacing w:line="360" w:lineRule="exact"/>
              <w:jc w:val="center"/>
              <w:rPr>
                <w:rFonts w:eastAsia="方正仿宋简体"/>
                <w:sz w:val="24"/>
                <w:szCs w:val="24"/>
              </w:rPr>
            </w:pPr>
            <w:r>
              <w:rPr>
                <w:rFonts w:eastAsia="方正仿宋简体"/>
                <w:sz w:val="24"/>
                <w:szCs w:val="24"/>
              </w:rPr>
              <w:t>南阳乡政府</w:t>
            </w:r>
          </w:p>
        </w:tc>
        <w:tc>
          <w:tcPr>
            <w:tcW w:w="1664" w:type="dxa"/>
            <w:vAlign w:val="center"/>
          </w:tcPr>
          <w:p w14:paraId="2D941139">
            <w:pPr>
              <w:spacing w:line="360" w:lineRule="exact"/>
              <w:jc w:val="center"/>
              <w:rPr>
                <w:rFonts w:eastAsia="方正仿宋简体"/>
                <w:sz w:val="24"/>
                <w:szCs w:val="24"/>
              </w:rPr>
            </w:pPr>
            <w:r>
              <w:rPr>
                <w:rFonts w:eastAsia="方正仿宋简体"/>
                <w:sz w:val="24"/>
                <w:szCs w:val="24"/>
              </w:rPr>
              <w:t>范佳慧</w:t>
            </w:r>
          </w:p>
        </w:tc>
        <w:tc>
          <w:tcPr>
            <w:tcW w:w="2634" w:type="dxa"/>
            <w:vAlign w:val="center"/>
          </w:tcPr>
          <w:p w14:paraId="4C82D334">
            <w:pPr>
              <w:spacing w:line="360" w:lineRule="exact"/>
              <w:jc w:val="center"/>
              <w:rPr>
                <w:rFonts w:eastAsia="方正仿宋简体"/>
                <w:sz w:val="24"/>
                <w:szCs w:val="24"/>
              </w:rPr>
            </w:pPr>
            <w:r>
              <w:rPr>
                <w:rFonts w:eastAsia="方正仿宋简体"/>
                <w:sz w:val="24"/>
                <w:szCs w:val="24"/>
              </w:rPr>
              <w:t>15259814565</w:t>
            </w:r>
          </w:p>
        </w:tc>
      </w:tr>
      <w:tr w14:paraId="32B9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3722242A">
            <w:pPr>
              <w:spacing w:line="360" w:lineRule="exact"/>
              <w:jc w:val="center"/>
              <w:rPr>
                <w:rFonts w:eastAsia="方正仿宋简体"/>
                <w:sz w:val="24"/>
                <w:szCs w:val="24"/>
              </w:rPr>
            </w:pPr>
            <w:r>
              <w:rPr>
                <w:rFonts w:eastAsia="方正仿宋简体"/>
                <w:sz w:val="24"/>
                <w:szCs w:val="24"/>
              </w:rPr>
              <w:t>16</w:t>
            </w:r>
          </w:p>
        </w:tc>
        <w:tc>
          <w:tcPr>
            <w:tcW w:w="3411" w:type="dxa"/>
            <w:vAlign w:val="center"/>
          </w:tcPr>
          <w:p w14:paraId="02417E89">
            <w:pPr>
              <w:spacing w:line="360" w:lineRule="exact"/>
              <w:jc w:val="center"/>
              <w:rPr>
                <w:rFonts w:eastAsia="方正仿宋简体"/>
                <w:sz w:val="24"/>
                <w:szCs w:val="24"/>
              </w:rPr>
            </w:pPr>
            <w:r>
              <w:rPr>
                <w:rFonts w:eastAsia="方正仿宋简体"/>
                <w:sz w:val="24"/>
                <w:szCs w:val="24"/>
              </w:rPr>
              <w:t>郑湖乡政府</w:t>
            </w:r>
          </w:p>
        </w:tc>
        <w:tc>
          <w:tcPr>
            <w:tcW w:w="1664" w:type="dxa"/>
            <w:vAlign w:val="center"/>
          </w:tcPr>
          <w:p w14:paraId="7172AFA0">
            <w:pPr>
              <w:spacing w:line="360" w:lineRule="exact"/>
              <w:jc w:val="center"/>
              <w:rPr>
                <w:rFonts w:eastAsia="方正仿宋简体"/>
                <w:sz w:val="24"/>
                <w:szCs w:val="24"/>
              </w:rPr>
            </w:pPr>
            <w:r>
              <w:rPr>
                <w:rFonts w:eastAsia="方正仿宋简体"/>
                <w:sz w:val="24"/>
                <w:szCs w:val="24"/>
              </w:rPr>
              <w:t>黄海峰</w:t>
            </w:r>
          </w:p>
        </w:tc>
        <w:tc>
          <w:tcPr>
            <w:tcW w:w="2634" w:type="dxa"/>
            <w:vAlign w:val="center"/>
          </w:tcPr>
          <w:p w14:paraId="384C4A2F">
            <w:pPr>
              <w:spacing w:line="360" w:lineRule="exact"/>
              <w:jc w:val="center"/>
              <w:rPr>
                <w:rFonts w:eastAsia="方正仿宋简体"/>
                <w:sz w:val="24"/>
                <w:szCs w:val="24"/>
              </w:rPr>
            </w:pPr>
            <w:r>
              <w:rPr>
                <w:rFonts w:eastAsia="方正仿宋简体"/>
                <w:sz w:val="24"/>
                <w:szCs w:val="24"/>
              </w:rPr>
              <w:t>18960576331</w:t>
            </w:r>
          </w:p>
        </w:tc>
      </w:tr>
      <w:tr w14:paraId="4629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53" w:type="dxa"/>
            <w:vAlign w:val="center"/>
          </w:tcPr>
          <w:p w14:paraId="752B3644">
            <w:pPr>
              <w:spacing w:line="360" w:lineRule="exact"/>
              <w:jc w:val="center"/>
              <w:rPr>
                <w:rFonts w:eastAsia="方正仿宋简体"/>
                <w:sz w:val="24"/>
                <w:szCs w:val="24"/>
              </w:rPr>
            </w:pPr>
            <w:r>
              <w:rPr>
                <w:rFonts w:eastAsia="方正仿宋简体"/>
                <w:sz w:val="24"/>
                <w:szCs w:val="24"/>
              </w:rPr>
              <w:t>17</w:t>
            </w:r>
          </w:p>
        </w:tc>
        <w:tc>
          <w:tcPr>
            <w:tcW w:w="3411" w:type="dxa"/>
            <w:vAlign w:val="center"/>
          </w:tcPr>
          <w:p w14:paraId="5B3D14EE">
            <w:pPr>
              <w:spacing w:line="360" w:lineRule="exact"/>
              <w:jc w:val="center"/>
              <w:rPr>
                <w:rFonts w:eastAsia="方正仿宋简体"/>
                <w:sz w:val="24"/>
                <w:szCs w:val="24"/>
              </w:rPr>
            </w:pPr>
            <w:r>
              <w:rPr>
                <w:rFonts w:eastAsia="方正仿宋简体"/>
                <w:sz w:val="24"/>
                <w:szCs w:val="24"/>
              </w:rPr>
              <w:t>湖源乡政府</w:t>
            </w:r>
          </w:p>
        </w:tc>
        <w:tc>
          <w:tcPr>
            <w:tcW w:w="1664" w:type="dxa"/>
            <w:vAlign w:val="center"/>
          </w:tcPr>
          <w:p w14:paraId="27C83609">
            <w:pPr>
              <w:spacing w:line="360" w:lineRule="exact"/>
              <w:jc w:val="center"/>
              <w:rPr>
                <w:rFonts w:eastAsia="方正仿宋简体"/>
                <w:sz w:val="24"/>
                <w:szCs w:val="24"/>
              </w:rPr>
            </w:pPr>
            <w:r>
              <w:rPr>
                <w:rFonts w:eastAsia="方正仿宋简体"/>
                <w:sz w:val="24"/>
                <w:szCs w:val="24"/>
              </w:rPr>
              <w:t>张衡</w:t>
            </w:r>
          </w:p>
        </w:tc>
        <w:tc>
          <w:tcPr>
            <w:tcW w:w="2634" w:type="dxa"/>
            <w:vAlign w:val="center"/>
          </w:tcPr>
          <w:p w14:paraId="3D81F5E9">
            <w:pPr>
              <w:spacing w:line="360" w:lineRule="exact"/>
              <w:jc w:val="center"/>
              <w:rPr>
                <w:rFonts w:eastAsia="方正仿宋简体"/>
                <w:sz w:val="24"/>
                <w:szCs w:val="24"/>
              </w:rPr>
            </w:pPr>
            <w:r>
              <w:rPr>
                <w:rFonts w:eastAsia="方正仿宋简体"/>
                <w:sz w:val="24"/>
                <w:szCs w:val="24"/>
              </w:rPr>
              <w:t>15959859500</w:t>
            </w:r>
          </w:p>
        </w:tc>
      </w:tr>
    </w:tbl>
    <w:p w14:paraId="53D59EA5">
      <w:pPr>
        <w:spacing w:line="520" w:lineRule="exact"/>
        <w:ind w:firstLine="480" w:firstLineChars="200"/>
        <w:rPr>
          <w:rFonts w:ascii="宋体" w:hAnsi="宋体"/>
          <w:sz w:val="24"/>
        </w:rPr>
      </w:pPr>
    </w:p>
    <w:p w14:paraId="29B6011D">
      <w:pPr>
        <w:spacing w:line="560" w:lineRule="exact"/>
        <w:rPr>
          <w:rFonts w:eastAsia="方正黑体简体"/>
          <w:sz w:val="32"/>
          <w:szCs w:val="32"/>
        </w:rPr>
      </w:pPr>
      <w:r>
        <w:rPr>
          <w:rFonts w:eastAsia="方正黑体简体"/>
          <w:sz w:val="32"/>
          <w:szCs w:val="32"/>
        </w:rPr>
        <w:t>附件3</w:t>
      </w:r>
    </w:p>
    <w:p w14:paraId="79AD8610">
      <w:pPr>
        <w:spacing w:line="520" w:lineRule="exact"/>
        <w:ind w:firstLine="480" w:firstLineChars="200"/>
        <w:rPr>
          <w:rFonts w:hint="eastAsia" w:ascii="宋体" w:hAnsi="宋体"/>
          <w:sz w:val="24"/>
        </w:rPr>
      </w:pPr>
    </w:p>
    <w:p w14:paraId="3A50232C">
      <w:pPr>
        <w:spacing w:afterLines="5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突发环境事件信息报送内容</w:t>
      </w:r>
    </w:p>
    <w:p w14:paraId="3277006A">
      <w:pPr>
        <w:spacing w:line="300" w:lineRule="exact"/>
        <w:jc w:val="center"/>
        <w:rPr>
          <w:rFonts w:hint="eastAsia" w:ascii="方正小标宋简体" w:hAnsi="宋体" w:eastAsia="方正小标宋简体"/>
          <w:sz w:val="44"/>
          <w:szCs w:val="44"/>
        </w:rPr>
      </w:pPr>
    </w:p>
    <w:tbl>
      <w:tblPr>
        <w:tblStyle w:val="7"/>
        <w:tblW w:w="8717" w:type="dxa"/>
        <w:tblInd w:w="93" w:type="dxa"/>
        <w:tblLayout w:type="autofit"/>
        <w:tblCellMar>
          <w:top w:w="0" w:type="dxa"/>
          <w:left w:w="108" w:type="dxa"/>
          <w:bottom w:w="0" w:type="dxa"/>
          <w:right w:w="108" w:type="dxa"/>
        </w:tblCellMar>
      </w:tblPr>
      <w:tblGrid>
        <w:gridCol w:w="2379"/>
        <w:gridCol w:w="6338"/>
      </w:tblGrid>
      <w:tr w14:paraId="11A6D704">
        <w:tblPrEx>
          <w:tblCellMar>
            <w:top w:w="0" w:type="dxa"/>
            <w:left w:w="108" w:type="dxa"/>
            <w:bottom w:w="0" w:type="dxa"/>
            <w:right w:w="108" w:type="dxa"/>
          </w:tblCellMar>
        </w:tblPrEx>
        <w:trPr>
          <w:trHeight w:val="856" w:hRule="atLeast"/>
        </w:trPr>
        <w:tc>
          <w:tcPr>
            <w:tcW w:w="2379" w:type="dxa"/>
            <w:tcBorders>
              <w:top w:val="single" w:color="auto" w:sz="4" w:space="0"/>
              <w:left w:val="single" w:color="auto" w:sz="4" w:space="0"/>
              <w:bottom w:val="single" w:color="auto" w:sz="4" w:space="0"/>
              <w:right w:val="single" w:color="auto" w:sz="4" w:space="0"/>
            </w:tcBorders>
            <w:vAlign w:val="center"/>
          </w:tcPr>
          <w:p w14:paraId="397B7801">
            <w:pPr>
              <w:spacing w:line="440" w:lineRule="exact"/>
              <w:jc w:val="center"/>
              <w:rPr>
                <w:rFonts w:hint="eastAsia" w:ascii="黑体" w:hAnsi="宋体" w:eastAsia="黑体"/>
                <w:sz w:val="28"/>
                <w:szCs w:val="28"/>
              </w:rPr>
            </w:pPr>
            <w:r>
              <w:rPr>
                <w:rFonts w:hint="eastAsia" w:ascii="黑体" w:hAnsi="宋体" w:eastAsia="黑体"/>
                <w:sz w:val="28"/>
                <w:szCs w:val="28"/>
              </w:rPr>
              <w:t>项  目</w:t>
            </w:r>
          </w:p>
        </w:tc>
        <w:tc>
          <w:tcPr>
            <w:tcW w:w="6338" w:type="dxa"/>
            <w:tcBorders>
              <w:top w:val="single" w:color="auto" w:sz="4" w:space="0"/>
              <w:left w:val="nil"/>
              <w:bottom w:val="single" w:color="auto" w:sz="4" w:space="0"/>
              <w:right w:val="single" w:color="auto" w:sz="4" w:space="0"/>
            </w:tcBorders>
            <w:vAlign w:val="center"/>
          </w:tcPr>
          <w:p w14:paraId="4C3F80E7">
            <w:pPr>
              <w:spacing w:line="440" w:lineRule="exact"/>
              <w:jc w:val="center"/>
              <w:rPr>
                <w:rFonts w:hint="eastAsia" w:ascii="黑体" w:hAnsi="宋体" w:eastAsia="黑体"/>
                <w:sz w:val="28"/>
                <w:szCs w:val="28"/>
              </w:rPr>
            </w:pPr>
            <w:r>
              <w:rPr>
                <w:rFonts w:hint="eastAsia" w:ascii="黑体" w:hAnsi="宋体" w:eastAsia="黑体"/>
                <w:sz w:val="28"/>
                <w:szCs w:val="28"/>
              </w:rPr>
              <w:t>内  容</w:t>
            </w:r>
          </w:p>
        </w:tc>
      </w:tr>
      <w:tr w14:paraId="63A9B650">
        <w:tblPrEx>
          <w:tblCellMar>
            <w:top w:w="0" w:type="dxa"/>
            <w:left w:w="108" w:type="dxa"/>
            <w:bottom w:w="0" w:type="dxa"/>
            <w:right w:w="108" w:type="dxa"/>
          </w:tblCellMar>
        </w:tblPrEx>
        <w:trPr>
          <w:trHeight w:val="922" w:hRule="atLeast"/>
        </w:trPr>
        <w:tc>
          <w:tcPr>
            <w:tcW w:w="2379" w:type="dxa"/>
            <w:tcBorders>
              <w:top w:val="nil"/>
              <w:left w:val="single" w:color="auto" w:sz="4" w:space="0"/>
              <w:bottom w:val="single" w:color="auto" w:sz="4" w:space="0"/>
              <w:right w:val="single" w:color="auto" w:sz="4" w:space="0"/>
            </w:tcBorders>
            <w:vAlign w:val="center"/>
          </w:tcPr>
          <w:p w14:paraId="7D98234C">
            <w:pPr>
              <w:spacing w:line="440" w:lineRule="exact"/>
              <w:jc w:val="center"/>
              <w:rPr>
                <w:rFonts w:eastAsia="方正仿宋简体"/>
                <w:sz w:val="28"/>
                <w:szCs w:val="28"/>
              </w:rPr>
            </w:pPr>
            <w:r>
              <w:rPr>
                <w:rFonts w:eastAsia="方正仿宋简体"/>
                <w:sz w:val="28"/>
                <w:szCs w:val="28"/>
              </w:rPr>
              <w:t>现场信息</w:t>
            </w:r>
          </w:p>
        </w:tc>
        <w:tc>
          <w:tcPr>
            <w:tcW w:w="6338" w:type="dxa"/>
            <w:tcBorders>
              <w:top w:val="nil"/>
              <w:left w:val="nil"/>
              <w:bottom w:val="single" w:color="auto" w:sz="4" w:space="0"/>
              <w:right w:val="single" w:color="auto" w:sz="4" w:space="0"/>
            </w:tcBorders>
            <w:vAlign w:val="center"/>
          </w:tcPr>
          <w:p w14:paraId="0F84577D">
            <w:pPr>
              <w:spacing w:line="440" w:lineRule="exact"/>
              <w:rPr>
                <w:rFonts w:eastAsia="方正仿宋简体"/>
                <w:sz w:val="28"/>
                <w:szCs w:val="28"/>
              </w:rPr>
            </w:pPr>
            <w:r>
              <w:rPr>
                <w:rFonts w:eastAsia="方正仿宋简体"/>
                <w:sz w:val="28"/>
                <w:szCs w:val="28"/>
              </w:rPr>
              <w:t>报告时间、现场联系人、报告人联系方式。</w:t>
            </w:r>
          </w:p>
        </w:tc>
      </w:tr>
      <w:tr w14:paraId="4330489C">
        <w:tblPrEx>
          <w:tblCellMar>
            <w:top w:w="0" w:type="dxa"/>
            <w:left w:w="108" w:type="dxa"/>
            <w:bottom w:w="0" w:type="dxa"/>
            <w:right w:w="108" w:type="dxa"/>
          </w:tblCellMar>
        </w:tblPrEx>
        <w:trPr>
          <w:trHeight w:val="1244" w:hRule="atLeast"/>
        </w:trPr>
        <w:tc>
          <w:tcPr>
            <w:tcW w:w="2379" w:type="dxa"/>
            <w:tcBorders>
              <w:top w:val="nil"/>
              <w:left w:val="single" w:color="auto" w:sz="4" w:space="0"/>
              <w:bottom w:val="single" w:color="auto" w:sz="4" w:space="0"/>
              <w:right w:val="single" w:color="auto" w:sz="4" w:space="0"/>
            </w:tcBorders>
            <w:vAlign w:val="center"/>
          </w:tcPr>
          <w:p w14:paraId="35BDEDA3">
            <w:pPr>
              <w:spacing w:line="440" w:lineRule="exact"/>
              <w:jc w:val="center"/>
              <w:rPr>
                <w:rFonts w:eastAsia="方正仿宋简体"/>
                <w:sz w:val="28"/>
                <w:szCs w:val="28"/>
              </w:rPr>
            </w:pPr>
            <w:r>
              <w:rPr>
                <w:rFonts w:eastAsia="方正仿宋简体"/>
                <w:sz w:val="28"/>
                <w:szCs w:val="28"/>
              </w:rPr>
              <w:t>事件基本信息</w:t>
            </w:r>
          </w:p>
        </w:tc>
        <w:tc>
          <w:tcPr>
            <w:tcW w:w="6338" w:type="dxa"/>
            <w:tcBorders>
              <w:top w:val="nil"/>
              <w:left w:val="nil"/>
              <w:bottom w:val="single" w:color="auto" w:sz="4" w:space="0"/>
              <w:right w:val="single" w:color="auto" w:sz="4" w:space="0"/>
            </w:tcBorders>
            <w:vAlign w:val="center"/>
          </w:tcPr>
          <w:p w14:paraId="5FA73301">
            <w:pPr>
              <w:spacing w:line="440" w:lineRule="exact"/>
              <w:rPr>
                <w:rFonts w:hint="eastAsia" w:eastAsia="方正仿宋简体"/>
                <w:sz w:val="28"/>
                <w:szCs w:val="28"/>
              </w:rPr>
            </w:pPr>
            <w:r>
              <w:rPr>
                <w:rFonts w:eastAsia="方正仿宋简体"/>
                <w:sz w:val="28"/>
                <w:szCs w:val="28"/>
              </w:rPr>
              <w:t>事件类型、发生地点、发生时间、污染源、泄漏数量、财产损失、人员伤亡、事故原因、事故进展</w:t>
            </w:r>
            <w:r>
              <w:rPr>
                <w:rFonts w:hint="eastAsia" w:eastAsia="方正仿宋简体"/>
                <w:sz w:val="28"/>
                <w:szCs w:val="28"/>
              </w:rPr>
              <w:t>。</w:t>
            </w:r>
          </w:p>
        </w:tc>
      </w:tr>
      <w:tr w14:paraId="4001E1EE">
        <w:tblPrEx>
          <w:tblCellMar>
            <w:top w:w="0" w:type="dxa"/>
            <w:left w:w="108" w:type="dxa"/>
            <w:bottom w:w="0" w:type="dxa"/>
            <w:right w:w="108" w:type="dxa"/>
          </w:tblCellMar>
        </w:tblPrEx>
        <w:trPr>
          <w:trHeight w:val="1841" w:hRule="atLeast"/>
        </w:trPr>
        <w:tc>
          <w:tcPr>
            <w:tcW w:w="2379" w:type="dxa"/>
            <w:tcBorders>
              <w:top w:val="nil"/>
              <w:left w:val="single" w:color="auto" w:sz="4" w:space="0"/>
              <w:bottom w:val="single" w:color="auto" w:sz="4" w:space="0"/>
              <w:right w:val="single" w:color="auto" w:sz="4" w:space="0"/>
            </w:tcBorders>
            <w:vAlign w:val="center"/>
          </w:tcPr>
          <w:p w14:paraId="1B2D3D67">
            <w:pPr>
              <w:spacing w:line="440" w:lineRule="exact"/>
              <w:jc w:val="center"/>
              <w:rPr>
                <w:rFonts w:eastAsia="方正仿宋简体"/>
                <w:sz w:val="28"/>
                <w:szCs w:val="28"/>
              </w:rPr>
            </w:pPr>
            <w:r>
              <w:rPr>
                <w:rFonts w:eastAsia="方正仿宋简体"/>
                <w:sz w:val="28"/>
                <w:szCs w:val="28"/>
              </w:rPr>
              <w:t>现场勘察情况</w:t>
            </w:r>
          </w:p>
        </w:tc>
        <w:tc>
          <w:tcPr>
            <w:tcW w:w="6338" w:type="dxa"/>
            <w:tcBorders>
              <w:top w:val="nil"/>
              <w:left w:val="nil"/>
              <w:bottom w:val="single" w:color="auto" w:sz="4" w:space="0"/>
              <w:right w:val="single" w:color="auto" w:sz="4" w:space="0"/>
            </w:tcBorders>
            <w:vAlign w:val="center"/>
          </w:tcPr>
          <w:p w14:paraId="198C586C">
            <w:pPr>
              <w:spacing w:line="440" w:lineRule="exact"/>
              <w:rPr>
                <w:rFonts w:eastAsia="方正仿宋简体"/>
                <w:sz w:val="28"/>
                <w:szCs w:val="28"/>
              </w:rPr>
            </w:pPr>
            <w:r>
              <w:rPr>
                <w:rFonts w:eastAsia="方正仿宋简体"/>
                <w:sz w:val="28"/>
                <w:szCs w:val="28"/>
              </w:rPr>
              <w:t>1</w:t>
            </w:r>
            <w:r>
              <w:rPr>
                <w:rFonts w:hint="eastAsia" w:eastAsia="方正仿宋简体"/>
                <w:sz w:val="28"/>
                <w:szCs w:val="28"/>
              </w:rPr>
              <w:t>．</w:t>
            </w:r>
            <w:r>
              <w:rPr>
                <w:rFonts w:eastAsia="方正仿宋简体"/>
                <w:sz w:val="28"/>
                <w:szCs w:val="28"/>
              </w:rPr>
              <w:t>事发地与饮用水源地关系；</w:t>
            </w:r>
          </w:p>
          <w:p w14:paraId="77A625BD">
            <w:pPr>
              <w:spacing w:line="440" w:lineRule="exact"/>
              <w:rPr>
                <w:rFonts w:hint="eastAsia" w:eastAsia="方正仿宋简体"/>
                <w:sz w:val="28"/>
                <w:szCs w:val="28"/>
              </w:rPr>
            </w:pPr>
            <w:r>
              <w:rPr>
                <w:rFonts w:eastAsia="方正仿宋简体"/>
                <w:sz w:val="28"/>
                <w:szCs w:val="28"/>
              </w:rPr>
              <w:t>2</w:t>
            </w:r>
            <w:r>
              <w:rPr>
                <w:rFonts w:hint="eastAsia" w:eastAsia="方正仿宋简体"/>
                <w:sz w:val="28"/>
                <w:szCs w:val="28"/>
              </w:rPr>
              <w:t>．</w:t>
            </w:r>
            <w:r>
              <w:rPr>
                <w:rFonts w:eastAsia="方正仿宋简体"/>
                <w:sz w:val="28"/>
                <w:szCs w:val="28"/>
              </w:rPr>
              <w:t>周边是否有居民点</w:t>
            </w:r>
            <w:r>
              <w:rPr>
                <w:rFonts w:hint="eastAsia" w:eastAsia="方正仿宋简体"/>
                <w:sz w:val="28"/>
                <w:szCs w:val="28"/>
              </w:rPr>
              <w:t>：</w:t>
            </w:r>
            <w:r>
              <w:rPr>
                <w:rFonts w:eastAsia="方正仿宋简体"/>
                <w:sz w:val="28"/>
                <w:szCs w:val="28"/>
              </w:rPr>
              <w:t>离事发地距离；</w:t>
            </w:r>
          </w:p>
          <w:p w14:paraId="79C1E022">
            <w:pPr>
              <w:spacing w:line="440" w:lineRule="exact"/>
              <w:rPr>
                <w:rFonts w:eastAsia="方正仿宋简体"/>
                <w:sz w:val="28"/>
                <w:szCs w:val="28"/>
              </w:rPr>
            </w:pPr>
            <w:r>
              <w:rPr>
                <w:rFonts w:eastAsia="方正仿宋简体"/>
                <w:sz w:val="28"/>
                <w:szCs w:val="28"/>
              </w:rPr>
              <w:t>3</w:t>
            </w:r>
            <w:r>
              <w:rPr>
                <w:rFonts w:hint="eastAsia" w:eastAsia="方正仿宋简体"/>
                <w:sz w:val="28"/>
                <w:szCs w:val="28"/>
              </w:rPr>
              <w:t>．</w:t>
            </w:r>
            <w:r>
              <w:rPr>
                <w:rFonts w:eastAsia="方正仿宋简体"/>
                <w:sz w:val="28"/>
                <w:szCs w:val="28"/>
              </w:rPr>
              <w:t>水文、气象条件：流速、风速等。</w:t>
            </w:r>
          </w:p>
        </w:tc>
      </w:tr>
      <w:tr w14:paraId="48A62656">
        <w:tblPrEx>
          <w:tblCellMar>
            <w:top w:w="0" w:type="dxa"/>
            <w:left w:w="108" w:type="dxa"/>
            <w:bottom w:w="0" w:type="dxa"/>
            <w:right w:w="108" w:type="dxa"/>
          </w:tblCellMar>
        </w:tblPrEx>
        <w:trPr>
          <w:trHeight w:val="1564" w:hRule="atLeast"/>
        </w:trPr>
        <w:tc>
          <w:tcPr>
            <w:tcW w:w="2379" w:type="dxa"/>
            <w:tcBorders>
              <w:top w:val="nil"/>
              <w:left w:val="single" w:color="auto" w:sz="4" w:space="0"/>
              <w:bottom w:val="single" w:color="auto" w:sz="4" w:space="0"/>
              <w:right w:val="single" w:color="auto" w:sz="4" w:space="0"/>
            </w:tcBorders>
            <w:vAlign w:val="center"/>
          </w:tcPr>
          <w:p w14:paraId="4AFE63BA">
            <w:pPr>
              <w:spacing w:line="440" w:lineRule="exact"/>
              <w:jc w:val="center"/>
              <w:rPr>
                <w:rFonts w:eastAsia="方正仿宋简体"/>
                <w:sz w:val="28"/>
                <w:szCs w:val="28"/>
              </w:rPr>
            </w:pPr>
            <w:r>
              <w:rPr>
                <w:rFonts w:eastAsia="方正仿宋简体"/>
                <w:sz w:val="28"/>
                <w:szCs w:val="28"/>
              </w:rPr>
              <w:t>现场监测情况</w:t>
            </w:r>
          </w:p>
        </w:tc>
        <w:tc>
          <w:tcPr>
            <w:tcW w:w="6338" w:type="dxa"/>
            <w:tcBorders>
              <w:top w:val="nil"/>
              <w:left w:val="nil"/>
              <w:bottom w:val="single" w:color="auto" w:sz="4" w:space="0"/>
              <w:right w:val="single" w:color="auto" w:sz="4" w:space="0"/>
            </w:tcBorders>
            <w:vAlign w:val="center"/>
          </w:tcPr>
          <w:p w14:paraId="29E20BFB">
            <w:pPr>
              <w:spacing w:line="440" w:lineRule="exact"/>
              <w:rPr>
                <w:rFonts w:hint="eastAsia" w:eastAsia="方正仿宋简体"/>
                <w:sz w:val="28"/>
                <w:szCs w:val="28"/>
              </w:rPr>
            </w:pPr>
            <w:r>
              <w:rPr>
                <w:rFonts w:eastAsia="方正仿宋简体"/>
                <w:sz w:val="28"/>
                <w:szCs w:val="28"/>
              </w:rPr>
              <w:t>监测报告、监测点位图</w:t>
            </w:r>
            <w:r>
              <w:rPr>
                <w:rFonts w:hint="eastAsia" w:eastAsia="方正仿宋简体"/>
                <w:sz w:val="28"/>
                <w:szCs w:val="28"/>
              </w:rPr>
              <w:t>。</w:t>
            </w:r>
          </w:p>
          <w:p w14:paraId="721971C0">
            <w:pPr>
              <w:spacing w:line="440" w:lineRule="exact"/>
              <w:rPr>
                <w:rFonts w:eastAsia="方正仿宋简体"/>
                <w:sz w:val="28"/>
                <w:szCs w:val="28"/>
              </w:rPr>
            </w:pPr>
            <w:r>
              <w:rPr>
                <w:rFonts w:eastAsia="方正仿宋简体"/>
                <w:sz w:val="28"/>
                <w:szCs w:val="28"/>
              </w:rPr>
              <w:t>（关键点位离事发地及敏感区域的距离）</w:t>
            </w:r>
          </w:p>
        </w:tc>
      </w:tr>
      <w:tr w14:paraId="657DD666">
        <w:tblPrEx>
          <w:tblCellMar>
            <w:top w:w="0" w:type="dxa"/>
            <w:left w:w="108" w:type="dxa"/>
            <w:bottom w:w="0" w:type="dxa"/>
            <w:right w:w="108" w:type="dxa"/>
          </w:tblCellMar>
        </w:tblPrEx>
        <w:trPr>
          <w:trHeight w:val="1045" w:hRule="atLeast"/>
        </w:trPr>
        <w:tc>
          <w:tcPr>
            <w:tcW w:w="2379" w:type="dxa"/>
            <w:tcBorders>
              <w:top w:val="nil"/>
              <w:left w:val="single" w:color="auto" w:sz="4" w:space="0"/>
              <w:bottom w:val="single" w:color="auto" w:sz="4" w:space="0"/>
              <w:right w:val="single" w:color="auto" w:sz="4" w:space="0"/>
            </w:tcBorders>
            <w:vAlign w:val="center"/>
          </w:tcPr>
          <w:p w14:paraId="713FF4B9">
            <w:pPr>
              <w:spacing w:line="440" w:lineRule="exact"/>
              <w:jc w:val="center"/>
              <w:rPr>
                <w:rFonts w:eastAsia="方正仿宋简体"/>
                <w:sz w:val="28"/>
                <w:szCs w:val="28"/>
              </w:rPr>
            </w:pPr>
            <w:r>
              <w:rPr>
                <w:rFonts w:eastAsia="方正仿宋简体"/>
                <w:sz w:val="28"/>
                <w:szCs w:val="28"/>
              </w:rPr>
              <w:t>应急处置措施</w:t>
            </w:r>
          </w:p>
        </w:tc>
        <w:tc>
          <w:tcPr>
            <w:tcW w:w="6338" w:type="dxa"/>
            <w:tcBorders>
              <w:top w:val="nil"/>
              <w:left w:val="nil"/>
              <w:bottom w:val="single" w:color="auto" w:sz="4" w:space="0"/>
              <w:right w:val="single" w:color="auto" w:sz="4" w:space="0"/>
            </w:tcBorders>
            <w:vAlign w:val="center"/>
          </w:tcPr>
          <w:p w14:paraId="05E58EFB">
            <w:pPr>
              <w:spacing w:line="440" w:lineRule="exact"/>
              <w:rPr>
                <w:rFonts w:hint="eastAsia" w:eastAsia="方正仿宋简体"/>
                <w:sz w:val="28"/>
                <w:szCs w:val="28"/>
              </w:rPr>
            </w:pPr>
            <w:r>
              <w:rPr>
                <w:rFonts w:eastAsia="方正仿宋简体"/>
                <w:sz w:val="28"/>
                <w:szCs w:val="28"/>
              </w:rPr>
              <w:t>政府、环保及相关部门采取的措施</w:t>
            </w:r>
            <w:r>
              <w:rPr>
                <w:rFonts w:hint="eastAsia" w:eastAsia="方正仿宋简体"/>
                <w:sz w:val="28"/>
                <w:szCs w:val="28"/>
              </w:rPr>
              <w:t>。</w:t>
            </w:r>
          </w:p>
        </w:tc>
      </w:tr>
    </w:tbl>
    <w:p w14:paraId="7285A8D3">
      <w:pPr>
        <w:spacing w:line="360" w:lineRule="auto"/>
        <w:rPr>
          <w:rFonts w:ascii="宋体" w:hAnsi="宋体"/>
          <w:sz w:val="24"/>
        </w:rPr>
      </w:pPr>
    </w:p>
    <w:p w14:paraId="2C2A26B6">
      <w:pPr>
        <w:spacing w:line="360" w:lineRule="auto"/>
        <w:rPr>
          <w:rFonts w:ascii="宋体" w:hAnsi="宋体"/>
          <w:sz w:val="24"/>
        </w:rPr>
      </w:pPr>
    </w:p>
    <w:p w14:paraId="25CD2A29">
      <w:pPr>
        <w:rPr>
          <w:rFonts w:ascii="宋体" w:hAnsi="宋体"/>
          <w:sz w:val="24"/>
        </w:rPr>
      </w:pPr>
    </w:p>
    <w:p w14:paraId="7CFF5718">
      <w:pPr>
        <w:rPr>
          <w:rFonts w:ascii="宋体" w:hAnsi="宋体"/>
          <w:sz w:val="24"/>
        </w:rPr>
      </w:pPr>
    </w:p>
    <w:p w14:paraId="35C3C8D5">
      <w:pPr>
        <w:rPr>
          <w:rFonts w:ascii="宋体" w:hAnsi="宋体"/>
          <w:sz w:val="24"/>
        </w:rPr>
      </w:pPr>
    </w:p>
    <w:p w14:paraId="7D439C14">
      <w:pPr>
        <w:rPr>
          <w:rFonts w:ascii="宋体" w:hAnsi="宋体"/>
          <w:sz w:val="24"/>
        </w:rPr>
        <w:sectPr>
          <w:pgSz w:w="11906" w:h="16838"/>
          <w:pgMar w:top="1701" w:right="1531" w:bottom="1701" w:left="1531" w:header="851" w:footer="1418" w:gutter="0"/>
          <w:cols w:space="425" w:num="1"/>
          <w:docGrid w:type="lines" w:linePitch="312" w:charSpace="0"/>
        </w:sectPr>
      </w:pPr>
    </w:p>
    <w:p w14:paraId="5A385082">
      <w:pPr>
        <w:spacing w:line="560" w:lineRule="exact"/>
        <w:rPr>
          <w:rFonts w:eastAsia="方正黑体简体"/>
          <w:sz w:val="32"/>
          <w:szCs w:val="32"/>
        </w:rPr>
      </w:pPr>
      <w:r>
        <w:rPr>
          <w:rFonts w:hint="eastAsia" w:eastAsia="方正黑体简体"/>
          <w:sz w:val="32"/>
          <w:szCs w:val="32"/>
        </w:rPr>
        <w:t>附件</w:t>
      </w:r>
      <w:r>
        <w:rPr>
          <w:rFonts w:eastAsia="方正黑体简体"/>
          <w:sz w:val="32"/>
          <w:szCs w:val="32"/>
        </w:rPr>
        <w:t xml:space="preserve">4                                     </w:t>
      </w:r>
    </w:p>
    <w:p w14:paraId="7B586414">
      <w:pPr>
        <w:spacing w:afterLines="5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突发环境事件应急专家库</w:t>
      </w:r>
    </w:p>
    <w:tbl>
      <w:tblPr>
        <w:tblStyle w:val="7"/>
        <w:tblW w:w="13954" w:type="dxa"/>
        <w:tblInd w:w="93" w:type="dxa"/>
        <w:tblLayout w:type="autofit"/>
        <w:tblCellMar>
          <w:top w:w="0" w:type="dxa"/>
          <w:left w:w="108" w:type="dxa"/>
          <w:bottom w:w="0" w:type="dxa"/>
          <w:right w:w="108" w:type="dxa"/>
        </w:tblCellMar>
      </w:tblPr>
      <w:tblGrid>
        <w:gridCol w:w="739"/>
        <w:gridCol w:w="1306"/>
        <w:gridCol w:w="845"/>
        <w:gridCol w:w="1669"/>
        <w:gridCol w:w="3920"/>
        <w:gridCol w:w="3640"/>
        <w:gridCol w:w="1835"/>
      </w:tblGrid>
      <w:tr w14:paraId="0EB407EA">
        <w:tblPrEx>
          <w:tblCellMar>
            <w:top w:w="0" w:type="dxa"/>
            <w:left w:w="108" w:type="dxa"/>
            <w:bottom w:w="0" w:type="dxa"/>
            <w:right w:w="108" w:type="dxa"/>
          </w:tblCellMar>
        </w:tblPrEx>
        <w:trPr>
          <w:trHeight w:val="757" w:hRule="atLeast"/>
        </w:trPr>
        <w:tc>
          <w:tcPr>
            <w:tcW w:w="739" w:type="dxa"/>
            <w:tcBorders>
              <w:top w:val="single" w:color="auto" w:sz="4" w:space="0"/>
              <w:left w:val="single" w:color="auto" w:sz="4" w:space="0"/>
              <w:bottom w:val="single" w:color="auto" w:sz="4" w:space="0"/>
              <w:right w:val="single" w:color="auto" w:sz="4" w:space="0"/>
            </w:tcBorders>
            <w:vAlign w:val="center"/>
          </w:tcPr>
          <w:p w14:paraId="615B5E84">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序号</w:t>
            </w:r>
          </w:p>
        </w:tc>
        <w:tc>
          <w:tcPr>
            <w:tcW w:w="1306" w:type="dxa"/>
            <w:tcBorders>
              <w:top w:val="single" w:color="auto" w:sz="4" w:space="0"/>
              <w:left w:val="nil"/>
              <w:bottom w:val="single" w:color="auto" w:sz="4" w:space="0"/>
              <w:right w:val="single" w:color="auto" w:sz="4" w:space="0"/>
            </w:tcBorders>
            <w:vAlign w:val="center"/>
          </w:tcPr>
          <w:p w14:paraId="5AD32559">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姓名</w:t>
            </w:r>
          </w:p>
        </w:tc>
        <w:tc>
          <w:tcPr>
            <w:tcW w:w="845" w:type="dxa"/>
            <w:tcBorders>
              <w:top w:val="single" w:color="auto" w:sz="4" w:space="0"/>
              <w:left w:val="nil"/>
              <w:bottom w:val="single" w:color="auto" w:sz="4" w:space="0"/>
              <w:right w:val="single" w:color="auto" w:sz="4" w:space="0"/>
            </w:tcBorders>
            <w:vAlign w:val="center"/>
          </w:tcPr>
          <w:p w14:paraId="355A929F">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性别</w:t>
            </w:r>
          </w:p>
        </w:tc>
        <w:tc>
          <w:tcPr>
            <w:tcW w:w="1669" w:type="dxa"/>
            <w:tcBorders>
              <w:top w:val="single" w:color="auto" w:sz="4" w:space="0"/>
              <w:left w:val="nil"/>
              <w:bottom w:val="single" w:color="auto" w:sz="4" w:space="0"/>
              <w:right w:val="single" w:color="auto" w:sz="4" w:space="0"/>
            </w:tcBorders>
            <w:vAlign w:val="center"/>
          </w:tcPr>
          <w:p w14:paraId="20DD4344">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职称</w:t>
            </w:r>
          </w:p>
        </w:tc>
        <w:tc>
          <w:tcPr>
            <w:tcW w:w="3920" w:type="dxa"/>
            <w:tcBorders>
              <w:top w:val="single" w:color="auto" w:sz="4" w:space="0"/>
              <w:left w:val="nil"/>
              <w:bottom w:val="single" w:color="auto" w:sz="4" w:space="0"/>
              <w:right w:val="single" w:color="auto" w:sz="4" w:space="0"/>
            </w:tcBorders>
            <w:vAlign w:val="center"/>
          </w:tcPr>
          <w:p w14:paraId="28EEC3C5">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擅长专业</w:t>
            </w:r>
          </w:p>
        </w:tc>
        <w:tc>
          <w:tcPr>
            <w:tcW w:w="3640" w:type="dxa"/>
            <w:tcBorders>
              <w:top w:val="single" w:color="auto" w:sz="4" w:space="0"/>
              <w:left w:val="nil"/>
              <w:bottom w:val="single" w:color="auto" w:sz="4" w:space="0"/>
              <w:right w:val="single" w:color="auto" w:sz="4" w:space="0"/>
            </w:tcBorders>
            <w:vAlign w:val="center"/>
          </w:tcPr>
          <w:p w14:paraId="5FA5E84C">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工作单位</w:t>
            </w:r>
          </w:p>
        </w:tc>
        <w:tc>
          <w:tcPr>
            <w:tcW w:w="1835" w:type="dxa"/>
            <w:tcBorders>
              <w:top w:val="single" w:color="auto" w:sz="4" w:space="0"/>
              <w:left w:val="nil"/>
              <w:bottom w:val="single" w:color="auto" w:sz="4" w:space="0"/>
              <w:right w:val="single" w:color="auto" w:sz="4" w:space="0"/>
            </w:tcBorders>
            <w:vAlign w:val="center"/>
          </w:tcPr>
          <w:p w14:paraId="255F496D">
            <w:pPr>
              <w:spacing w:line="360" w:lineRule="exact"/>
              <w:jc w:val="center"/>
              <w:rPr>
                <w:rFonts w:hint="eastAsia" w:ascii="方正黑体简体" w:eastAsia="方正黑体简体"/>
                <w:sz w:val="24"/>
                <w:szCs w:val="24"/>
              </w:rPr>
            </w:pPr>
            <w:r>
              <w:rPr>
                <w:rFonts w:hint="eastAsia" w:ascii="方正黑体简体" w:eastAsia="方正黑体简体"/>
                <w:sz w:val="24"/>
                <w:szCs w:val="24"/>
              </w:rPr>
              <w:t>手机</w:t>
            </w:r>
          </w:p>
        </w:tc>
      </w:tr>
      <w:tr w14:paraId="6C3B35CE">
        <w:tblPrEx>
          <w:tblCellMar>
            <w:top w:w="0" w:type="dxa"/>
            <w:left w:w="108" w:type="dxa"/>
            <w:bottom w:w="0" w:type="dxa"/>
            <w:right w:w="108" w:type="dxa"/>
          </w:tblCellMar>
        </w:tblPrEx>
        <w:trPr>
          <w:trHeight w:val="817" w:hRule="atLeast"/>
        </w:trPr>
        <w:tc>
          <w:tcPr>
            <w:tcW w:w="739" w:type="dxa"/>
            <w:tcBorders>
              <w:top w:val="nil"/>
              <w:left w:val="single" w:color="auto" w:sz="4" w:space="0"/>
              <w:bottom w:val="single" w:color="auto" w:sz="4" w:space="0"/>
              <w:right w:val="single" w:color="auto" w:sz="4" w:space="0"/>
            </w:tcBorders>
            <w:vAlign w:val="center"/>
          </w:tcPr>
          <w:p w14:paraId="11263E04">
            <w:pPr>
              <w:spacing w:line="360" w:lineRule="exact"/>
              <w:jc w:val="center"/>
              <w:rPr>
                <w:rFonts w:eastAsia="方正仿宋简体"/>
                <w:sz w:val="24"/>
                <w:szCs w:val="24"/>
              </w:rPr>
            </w:pPr>
            <w:r>
              <w:rPr>
                <w:rFonts w:eastAsia="方正仿宋简体"/>
                <w:sz w:val="24"/>
                <w:szCs w:val="24"/>
              </w:rPr>
              <w:t>1</w:t>
            </w:r>
          </w:p>
        </w:tc>
        <w:tc>
          <w:tcPr>
            <w:tcW w:w="1306" w:type="dxa"/>
            <w:tcBorders>
              <w:top w:val="nil"/>
              <w:left w:val="nil"/>
              <w:bottom w:val="single" w:color="auto" w:sz="4" w:space="0"/>
              <w:right w:val="single" w:color="auto" w:sz="4" w:space="0"/>
            </w:tcBorders>
            <w:vAlign w:val="center"/>
          </w:tcPr>
          <w:p w14:paraId="43584743">
            <w:pPr>
              <w:spacing w:line="360" w:lineRule="exact"/>
              <w:jc w:val="center"/>
              <w:rPr>
                <w:rFonts w:eastAsia="方正仿宋简体"/>
                <w:sz w:val="24"/>
                <w:szCs w:val="24"/>
              </w:rPr>
            </w:pPr>
            <w:r>
              <w:rPr>
                <w:rFonts w:eastAsia="方正仿宋简体"/>
                <w:sz w:val="24"/>
                <w:szCs w:val="24"/>
              </w:rPr>
              <w:t>陈阿兴</w:t>
            </w:r>
          </w:p>
        </w:tc>
        <w:tc>
          <w:tcPr>
            <w:tcW w:w="845" w:type="dxa"/>
            <w:tcBorders>
              <w:top w:val="nil"/>
              <w:left w:val="nil"/>
              <w:bottom w:val="single" w:color="auto" w:sz="4" w:space="0"/>
              <w:right w:val="single" w:color="auto" w:sz="4" w:space="0"/>
            </w:tcBorders>
            <w:vAlign w:val="center"/>
          </w:tcPr>
          <w:p w14:paraId="73605CCB">
            <w:pPr>
              <w:spacing w:line="360" w:lineRule="exact"/>
              <w:jc w:val="center"/>
              <w:rPr>
                <w:rFonts w:eastAsia="方正仿宋简体"/>
                <w:sz w:val="24"/>
                <w:szCs w:val="24"/>
              </w:rPr>
            </w:pPr>
            <w:r>
              <w:rPr>
                <w:rFonts w:eastAsia="方正仿宋简体"/>
                <w:sz w:val="24"/>
                <w:szCs w:val="24"/>
              </w:rPr>
              <w:t>男</w:t>
            </w:r>
          </w:p>
        </w:tc>
        <w:tc>
          <w:tcPr>
            <w:tcW w:w="1669" w:type="dxa"/>
            <w:tcBorders>
              <w:top w:val="nil"/>
              <w:left w:val="nil"/>
              <w:bottom w:val="single" w:color="auto" w:sz="4" w:space="0"/>
              <w:right w:val="single" w:color="auto" w:sz="4" w:space="0"/>
            </w:tcBorders>
            <w:vAlign w:val="center"/>
          </w:tcPr>
          <w:p w14:paraId="39A87E4F">
            <w:pPr>
              <w:spacing w:line="360" w:lineRule="exact"/>
              <w:jc w:val="center"/>
              <w:rPr>
                <w:rFonts w:eastAsia="方正仿宋简体"/>
                <w:sz w:val="24"/>
                <w:szCs w:val="24"/>
              </w:rPr>
            </w:pPr>
            <w:r>
              <w:rPr>
                <w:rFonts w:eastAsia="方正仿宋简体"/>
                <w:sz w:val="24"/>
                <w:szCs w:val="24"/>
              </w:rPr>
              <w:t>高级技师</w:t>
            </w:r>
          </w:p>
        </w:tc>
        <w:tc>
          <w:tcPr>
            <w:tcW w:w="3920" w:type="dxa"/>
            <w:tcBorders>
              <w:top w:val="nil"/>
              <w:left w:val="nil"/>
              <w:bottom w:val="single" w:color="auto" w:sz="4" w:space="0"/>
              <w:right w:val="single" w:color="auto" w:sz="4" w:space="0"/>
            </w:tcBorders>
            <w:vAlign w:val="center"/>
          </w:tcPr>
          <w:p w14:paraId="641BBDF1">
            <w:pPr>
              <w:spacing w:line="360" w:lineRule="exact"/>
              <w:rPr>
                <w:rFonts w:eastAsia="方正仿宋简体"/>
                <w:sz w:val="24"/>
                <w:szCs w:val="24"/>
              </w:rPr>
            </w:pPr>
            <w:r>
              <w:rPr>
                <w:rFonts w:eastAsia="方正仿宋简体"/>
                <w:sz w:val="24"/>
                <w:szCs w:val="24"/>
              </w:rPr>
              <w:t>造纸、环境治理</w:t>
            </w:r>
          </w:p>
        </w:tc>
        <w:tc>
          <w:tcPr>
            <w:tcW w:w="3640" w:type="dxa"/>
            <w:tcBorders>
              <w:top w:val="nil"/>
              <w:left w:val="nil"/>
              <w:bottom w:val="single" w:color="auto" w:sz="4" w:space="0"/>
              <w:right w:val="single" w:color="auto" w:sz="4" w:space="0"/>
            </w:tcBorders>
            <w:vAlign w:val="center"/>
          </w:tcPr>
          <w:p w14:paraId="47529024">
            <w:pPr>
              <w:spacing w:line="360" w:lineRule="exact"/>
              <w:jc w:val="center"/>
              <w:rPr>
                <w:rFonts w:eastAsia="方正仿宋简体"/>
                <w:sz w:val="24"/>
                <w:szCs w:val="24"/>
              </w:rPr>
            </w:pPr>
            <w:r>
              <w:rPr>
                <w:rFonts w:eastAsia="方正仿宋简体"/>
                <w:sz w:val="24"/>
                <w:szCs w:val="24"/>
              </w:rPr>
              <w:t>福建省青山纸业股份有限公司</w:t>
            </w:r>
          </w:p>
        </w:tc>
        <w:tc>
          <w:tcPr>
            <w:tcW w:w="1835" w:type="dxa"/>
            <w:tcBorders>
              <w:top w:val="nil"/>
              <w:left w:val="nil"/>
              <w:bottom w:val="single" w:color="auto" w:sz="4" w:space="0"/>
              <w:right w:val="single" w:color="auto" w:sz="4" w:space="0"/>
            </w:tcBorders>
            <w:vAlign w:val="center"/>
          </w:tcPr>
          <w:p w14:paraId="66784F5C">
            <w:pPr>
              <w:spacing w:line="360" w:lineRule="exact"/>
              <w:jc w:val="center"/>
              <w:rPr>
                <w:rFonts w:eastAsia="方正仿宋简体"/>
                <w:sz w:val="24"/>
                <w:szCs w:val="24"/>
              </w:rPr>
            </w:pPr>
            <w:r>
              <w:rPr>
                <w:rFonts w:eastAsia="方正仿宋简体"/>
                <w:sz w:val="24"/>
                <w:szCs w:val="24"/>
              </w:rPr>
              <w:t>18759843966</w:t>
            </w:r>
          </w:p>
        </w:tc>
      </w:tr>
      <w:tr w14:paraId="438BD36A">
        <w:tblPrEx>
          <w:tblCellMar>
            <w:top w:w="0" w:type="dxa"/>
            <w:left w:w="108" w:type="dxa"/>
            <w:bottom w:w="0" w:type="dxa"/>
            <w:right w:w="108" w:type="dxa"/>
          </w:tblCellMar>
        </w:tblPrEx>
        <w:trPr>
          <w:trHeight w:val="634" w:hRule="atLeast"/>
        </w:trPr>
        <w:tc>
          <w:tcPr>
            <w:tcW w:w="739" w:type="dxa"/>
            <w:tcBorders>
              <w:top w:val="nil"/>
              <w:left w:val="single" w:color="auto" w:sz="4" w:space="0"/>
              <w:bottom w:val="single" w:color="auto" w:sz="4" w:space="0"/>
              <w:right w:val="single" w:color="auto" w:sz="4" w:space="0"/>
            </w:tcBorders>
            <w:vAlign w:val="center"/>
          </w:tcPr>
          <w:p w14:paraId="01B9A512">
            <w:pPr>
              <w:spacing w:line="360" w:lineRule="exact"/>
              <w:jc w:val="center"/>
              <w:rPr>
                <w:rFonts w:eastAsia="方正仿宋简体"/>
                <w:sz w:val="24"/>
                <w:szCs w:val="24"/>
              </w:rPr>
            </w:pPr>
            <w:r>
              <w:rPr>
                <w:rFonts w:eastAsia="方正仿宋简体"/>
                <w:sz w:val="24"/>
                <w:szCs w:val="24"/>
              </w:rPr>
              <w:t>2</w:t>
            </w:r>
          </w:p>
        </w:tc>
        <w:tc>
          <w:tcPr>
            <w:tcW w:w="1306" w:type="dxa"/>
            <w:tcBorders>
              <w:top w:val="nil"/>
              <w:left w:val="nil"/>
              <w:bottom w:val="single" w:color="auto" w:sz="4" w:space="0"/>
              <w:right w:val="single" w:color="auto" w:sz="4" w:space="0"/>
            </w:tcBorders>
            <w:vAlign w:val="center"/>
          </w:tcPr>
          <w:p w14:paraId="320619DE">
            <w:pPr>
              <w:spacing w:line="360" w:lineRule="exact"/>
              <w:jc w:val="center"/>
              <w:rPr>
                <w:rFonts w:eastAsia="方正仿宋简体"/>
                <w:sz w:val="24"/>
                <w:szCs w:val="24"/>
              </w:rPr>
            </w:pPr>
            <w:r>
              <w:rPr>
                <w:rFonts w:eastAsia="方正仿宋简体"/>
                <w:sz w:val="24"/>
                <w:szCs w:val="24"/>
              </w:rPr>
              <w:t>蒲建平</w:t>
            </w:r>
          </w:p>
        </w:tc>
        <w:tc>
          <w:tcPr>
            <w:tcW w:w="845" w:type="dxa"/>
            <w:tcBorders>
              <w:top w:val="nil"/>
              <w:left w:val="nil"/>
              <w:bottom w:val="single" w:color="auto" w:sz="4" w:space="0"/>
              <w:right w:val="single" w:color="auto" w:sz="4" w:space="0"/>
            </w:tcBorders>
            <w:vAlign w:val="center"/>
          </w:tcPr>
          <w:p w14:paraId="37384000">
            <w:pPr>
              <w:spacing w:line="360" w:lineRule="exact"/>
              <w:jc w:val="center"/>
              <w:rPr>
                <w:rFonts w:eastAsia="方正仿宋简体"/>
                <w:sz w:val="24"/>
                <w:szCs w:val="24"/>
              </w:rPr>
            </w:pPr>
            <w:r>
              <w:rPr>
                <w:rFonts w:eastAsia="方正仿宋简体"/>
                <w:sz w:val="24"/>
                <w:szCs w:val="24"/>
              </w:rPr>
              <w:t>男</w:t>
            </w:r>
          </w:p>
        </w:tc>
        <w:tc>
          <w:tcPr>
            <w:tcW w:w="1669" w:type="dxa"/>
            <w:tcBorders>
              <w:top w:val="nil"/>
              <w:left w:val="nil"/>
              <w:bottom w:val="single" w:color="auto" w:sz="4" w:space="0"/>
              <w:right w:val="single" w:color="auto" w:sz="4" w:space="0"/>
            </w:tcBorders>
            <w:vAlign w:val="center"/>
          </w:tcPr>
          <w:p w14:paraId="18763A57">
            <w:pPr>
              <w:spacing w:line="360" w:lineRule="exact"/>
              <w:jc w:val="center"/>
              <w:rPr>
                <w:rFonts w:eastAsia="方正仿宋简体"/>
                <w:sz w:val="24"/>
                <w:szCs w:val="24"/>
              </w:rPr>
            </w:pPr>
            <w:r>
              <w:rPr>
                <w:rFonts w:eastAsia="方正仿宋简体"/>
                <w:sz w:val="24"/>
                <w:szCs w:val="24"/>
              </w:rPr>
              <w:t>工程师</w:t>
            </w:r>
          </w:p>
        </w:tc>
        <w:tc>
          <w:tcPr>
            <w:tcW w:w="3920" w:type="dxa"/>
            <w:tcBorders>
              <w:top w:val="nil"/>
              <w:left w:val="nil"/>
              <w:bottom w:val="single" w:color="auto" w:sz="4" w:space="0"/>
              <w:right w:val="single" w:color="auto" w:sz="4" w:space="0"/>
            </w:tcBorders>
            <w:vAlign w:val="center"/>
          </w:tcPr>
          <w:p w14:paraId="54EA7252">
            <w:pPr>
              <w:spacing w:line="360" w:lineRule="exact"/>
              <w:rPr>
                <w:rFonts w:eastAsia="方正仿宋简体"/>
                <w:sz w:val="24"/>
                <w:szCs w:val="24"/>
              </w:rPr>
            </w:pPr>
            <w:r>
              <w:rPr>
                <w:rFonts w:eastAsia="方正仿宋简体"/>
                <w:sz w:val="24"/>
                <w:szCs w:val="24"/>
              </w:rPr>
              <w:t>机械制造、金属表面处理</w:t>
            </w:r>
          </w:p>
        </w:tc>
        <w:tc>
          <w:tcPr>
            <w:tcW w:w="3640" w:type="dxa"/>
            <w:tcBorders>
              <w:top w:val="nil"/>
              <w:left w:val="nil"/>
              <w:bottom w:val="single" w:color="auto" w:sz="4" w:space="0"/>
              <w:right w:val="single" w:color="auto" w:sz="4" w:space="0"/>
            </w:tcBorders>
            <w:vAlign w:val="center"/>
          </w:tcPr>
          <w:p w14:paraId="511702D1">
            <w:pPr>
              <w:spacing w:line="360" w:lineRule="exact"/>
              <w:jc w:val="center"/>
              <w:rPr>
                <w:rFonts w:eastAsia="方正仿宋简体"/>
                <w:sz w:val="24"/>
                <w:szCs w:val="24"/>
              </w:rPr>
            </w:pPr>
            <w:r>
              <w:rPr>
                <w:rFonts w:eastAsia="方正仿宋简体"/>
                <w:sz w:val="24"/>
                <w:szCs w:val="24"/>
              </w:rPr>
              <w:t>金杨（福建）科技有限公司</w:t>
            </w:r>
          </w:p>
        </w:tc>
        <w:tc>
          <w:tcPr>
            <w:tcW w:w="1835" w:type="dxa"/>
            <w:tcBorders>
              <w:top w:val="nil"/>
              <w:left w:val="nil"/>
              <w:bottom w:val="single" w:color="auto" w:sz="4" w:space="0"/>
              <w:right w:val="single" w:color="auto" w:sz="4" w:space="0"/>
            </w:tcBorders>
            <w:vAlign w:val="center"/>
          </w:tcPr>
          <w:p w14:paraId="5CAB2D59">
            <w:pPr>
              <w:spacing w:line="360" w:lineRule="exact"/>
              <w:jc w:val="center"/>
              <w:rPr>
                <w:rFonts w:eastAsia="方正仿宋简体"/>
                <w:sz w:val="24"/>
                <w:szCs w:val="24"/>
              </w:rPr>
            </w:pPr>
            <w:r>
              <w:rPr>
                <w:rFonts w:eastAsia="方正仿宋简体"/>
                <w:sz w:val="24"/>
                <w:szCs w:val="24"/>
              </w:rPr>
              <w:t>18859840567</w:t>
            </w:r>
          </w:p>
        </w:tc>
      </w:tr>
      <w:tr w14:paraId="00949B71">
        <w:tblPrEx>
          <w:tblCellMar>
            <w:top w:w="0" w:type="dxa"/>
            <w:left w:w="108" w:type="dxa"/>
            <w:bottom w:w="0" w:type="dxa"/>
            <w:right w:w="108" w:type="dxa"/>
          </w:tblCellMar>
        </w:tblPrEx>
        <w:trPr>
          <w:trHeight w:val="634" w:hRule="atLeast"/>
        </w:trPr>
        <w:tc>
          <w:tcPr>
            <w:tcW w:w="739" w:type="dxa"/>
            <w:tcBorders>
              <w:top w:val="nil"/>
              <w:left w:val="single" w:color="auto" w:sz="4" w:space="0"/>
              <w:bottom w:val="single" w:color="auto" w:sz="4" w:space="0"/>
              <w:right w:val="single" w:color="auto" w:sz="4" w:space="0"/>
            </w:tcBorders>
            <w:vAlign w:val="center"/>
          </w:tcPr>
          <w:p w14:paraId="254263FE">
            <w:pPr>
              <w:spacing w:line="360" w:lineRule="exact"/>
              <w:jc w:val="center"/>
              <w:rPr>
                <w:rFonts w:eastAsia="方正仿宋简体"/>
                <w:sz w:val="24"/>
                <w:szCs w:val="24"/>
              </w:rPr>
            </w:pPr>
            <w:r>
              <w:rPr>
                <w:rFonts w:eastAsia="方正仿宋简体"/>
                <w:sz w:val="24"/>
                <w:szCs w:val="24"/>
              </w:rPr>
              <w:t>3</w:t>
            </w:r>
          </w:p>
        </w:tc>
        <w:tc>
          <w:tcPr>
            <w:tcW w:w="1306" w:type="dxa"/>
            <w:tcBorders>
              <w:top w:val="nil"/>
              <w:left w:val="nil"/>
              <w:bottom w:val="single" w:color="auto" w:sz="4" w:space="0"/>
              <w:right w:val="single" w:color="auto" w:sz="4" w:space="0"/>
            </w:tcBorders>
            <w:vAlign w:val="center"/>
          </w:tcPr>
          <w:p w14:paraId="37F97F85">
            <w:pPr>
              <w:spacing w:line="360" w:lineRule="exact"/>
              <w:jc w:val="center"/>
              <w:rPr>
                <w:rFonts w:eastAsia="方正仿宋简体"/>
                <w:sz w:val="24"/>
                <w:szCs w:val="24"/>
              </w:rPr>
            </w:pPr>
            <w:r>
              <w:rPr>
                <w:rFonts w:eastAsia="方正仿宋简体"/>
                <w:sz w:val="24"/>
                <w:szCs w:val="24"/>
              </w:rPr>
              <w:t>黄维锦</w:t>
            </w:r>
          </w:p>
        </w:tc>
        <w:tc>
          <w:tcPr>
            <w:tcW w:w="845" w:type="dxa"/>
            <w:tcBorders>
              <w:top w:val="nil"/>
              <w:left w:val="nil"/>
              <w:bottom w:val="single" w:color="auto" w:sz="4" w:space="0"/>
              <w:right w:val="single" w:color="auto" w:sz="4" w:space="0"/>
            </w:tcBorders>
            <w:vAlign w:val="center"/>
          </w:tcPr>
          <w:p w14:paraId="20C0DCF2">
            <w:pPr>
              <w:spacing w:line="360" w:lineRule="exact"/>
              <w:jc w:val="center"/>
              <w:rPr>
                <w:rFonts w:eastAsia="方正仿宋简体"/>
                <w:sz w:val="24"/>
                <w:szCs w:val="24"/>
              </w:rPr>
            </w:pPr>
            <w:r>
              <w:rPr>
                <w:rFonts w:eastAsia="方正仿宋简体"/>
                <w:sz w:val="24"/>
                <w:szCs w:val="24"/>
              </w:rPr>
              <w:t>男</w:t>
            </w:r>
          </w:p>
        </w:tc>
        <w:tc>
          <w:tcPr>
            <w:tcW w:w="1669" w:type="dxa"/>
            <w:tcBorders>
              <w:top w:val="nil"/>
              <w:left w:val="nil"/>
              <w:bottom w:val="single" w:color="auto" w:sz="4" w:space="0"/>
              <w:right w:val="single" w:color="auto" w:sz="4" w:space="0"/>
            </w:tcBorders>
            <w:vAlign w:val="center"/>
          </w:tcPr>
          <w:p w14:paraId="5E452CE9">
            <w:pPr>
              <w:spacing w:line="360" w:lineRule="exact"/>
              <w:jc w:val="center"/>
              <w:rPr>
                <w:rFonts w:eastAsia="方正仿宋简体"/>
                <w:sz w:val="24"/>
                <w:szCs w:val="24"/>
              </w:rPr>
            </w:pPr>
            <w:r>
              <w:rPr>
                <w:rFonts w:eastAsia="方正仿宋简体"/>
                <w:sz w:val="24"/>
                <w:szCs w:val="24"/>
              </w:rPr>
              <w:t>高级工程师</w:t>
            </w:r>
          </w:p>
        </w:tc>
        <w:tc>
          <w:tcPr>
            <w:tcW w:w="3920" w:type="dxa"/>
            <w:tcBorders>
              <w:top w:val="nil"/>
              <w:left w:val="nil"/>
              <w:bottom w:val="single" w:color="auto" w:sz="4" w:space="0"/>
              <w:right w:val="single" w:color="auto" w:sz="4" w:space="0"/>
            </w:tcBorders>
            <w:vAlign w:val="center"/>
          </w:tcPr>
          <w:p w14:paraId="68D19DE3">
            <w:pPr>
              <w:spacing w:line="360" w:lineRule="exact"/>
              <w:rPr>
                <w:rFonts w:eastAsia="方正仿宋简体"/>
                <w:sz w:val="24"/>
                <w:szCs w:val="24"/>
              </w:rPr>
            </w:pPr>
            <w:r>
              <w:rPr>
                <w:rFonts w:eastAsia="方正仿宋简体"/>
                <w:sz w:val="24"/>
                <w:szCs w:val="24"/>
              </w:rPr>
              <w:t>化工、医药、防治</w:t>
            </w:r>
          </w:p>
        </w:tc>
        <w:tc>
          <w:tcPr>
            <w:tcW w:w="3640" w:type="dxa"/>
            <w:tcBorders>
              <w:top w:val="nil"/>
              <w:left w:val="nil"/>
              <w:bottom w:val="single" w:color="auto" w:sz="4" w:space="0"/>
              <w:right w:val="single" w:color="auto" w:sz="4" w:space="0"/>
            </w:tcBorders>
            <w:vAlign w:val="center"/>
          </w:tcPr>
          <w:p w14:paraId="5B6D726C">
            <w:pPr>
              <w:spacing w:line="360" w:lineRule="exact"/>
              <w:jc w:val="center"/>
              <w:rPr>
                <w:rFonts w:eastAsia="方正仿宋简体"/>
                <w:sz w:val="24"/>
                <w:szCs w:val="24"/>
              </w:rPr>
            </w:pPr>
            <w:r>
              <w:rPr>
                <w:rFonts w:eastAsia="方正仿宋简体"/>
                <w:sz w:val="24"/>
                <w:szCs w:val="24"/>
              </w:rPr>
              <w:t>沙县侨丹实业有限公司</w:t>
            </w:r>
          </w:p>
        </w:tc>
        <w:tc>
          <w:tcPr>
            <w:tcW w:w="1835" w:type="dxa"/>
            <w:tcBorders>
              <w:top w:val="nil"/>
              <w:left w:val="nil"/>
              <w:bottom w:val="single" w:color="auto" w:sz="4" w:space="0"/>
              <w:right w:val="single" w:color="auto" w:sz="4" w:space="0"/>
            </w:tcBorders>
            <w:vAlign w:val="center"/>
          </w:tcPr>
          <w:p w14:paraId="586197FC">
            <w:pPr>
              <w:spacing w:line="360" w:lineRule="exact"/>
              <w:jc w:val="center"/>
              <w:rPr>
                <w:rFonts w:eastAsia="方正仿宋简体"/>
                <w:sz w:val="24"/>
                <w:szCs w:val="24"/>
              </w:rPr>
            </w:pPr>
            <w:r>
              <w:rPr>
                <w:rFonts w:eastAsia="方正仿宋简体"/>
                <w:sz w:val="24"/>
                <w:szCs w:val="24"/>
              </w:rPr>
              <w:t>13950902399</w:t>
            </w:r>
          </w:p>
        </w:tc>
      </w:tr>
      <w:tr w14:paraId="66159555">
        <w:tblPrEx>
          <w:tblCellMar>
            <w:top w:w="0" w:type="dxa"/>
            <w:left w:w="108" w:type="dxa"/>
            <w:bottom w:w="0" w:type="dxa"/>
            <w:right w:w="108" w:type="dxa"/>
          </w:tblCellMar>
        </w:tblPrEx>
        <w:trPr>
          <w:trHeight w:val="1088" w:hRule="atLeast"/>
        </w:trPr>
        <w:tc>
          <w:tcPr>
            <w:tcW w:w="739" w:type="dxa"/>
            <w:tcBorders>
              <w:top w:val="nil"/>
              <w:left w:val="single" w:color="auto" w:sz="4" w:space="0"/>
              <w:bottom w:val="single" w:color="auto" w:sz="4" w:space="0"/>
              <w:right w:val="single" w:color="auto" w:sz="4" w:space="0"/>
            </w:tcBorders>
            <w:vAlign w:val="center"/>
          </w:tcPr>
          <w:p w14:paraId="47EB3B41">
            <w:pPr>
              <w:spacing w:line="360" w:lineRule="exact"/>
              <w:jc w:val="center"/>
              <w:rPr>
                <w:rFonts w:eastAsia="方正仿宋简体"/>
                <w:sz w:val="24"/>
                <w:szCs w:val="24"/>
              </w:rPr>
            </w:pPr>
            <w:r>
              <w:rPr>
                <w:rFonts w:eastAsia="方正仿宋简体"/>
                <w:sz w:val="24"/>
                <w:szCs w:val="24"/>
              </w:rPr>
              <w:t>4</w:t>
            </w:r>
          </w:p>
        </w:tc>
        <w:tc>
          <w:tcPr>
            <w:tcW w:w="1306" w:type="dxa"/>
            <w:tcBorders>
              <w:top w:val="nil"/>
              <w:left w:val="nil"/>
              <w:bottom w:val="single" w:color="auto" w:sz="4" w:space="0"/>
              <w:right w:val="single" w:color="auto" w:sz="4" w:space="0"/>
            </w:tcBorders>
            <w:vAlign w:val="center"/>
          </w:tcPr>
          <w:p w14:paraId="418086FE">
            <w:pPr>
              <w:spacing w:line="360" w:lineRule="exact"/>
              <w:jc w:val="center"/>
              <w:rPr>
                <w:rFonts w:eastAsia="方正仿宋简体"/>
                <w:sz w:val="24"/>
                <w:szCs w:val="24"/>
              </w:rPr>
            </w:pPr>
            <w:r>
              <w:rPr>
                <w:rFonts w:eastAsia="方正仿宋简体"/>
                <w:sz w:val="24"/>
                <w:szCs w:val="24"/>
              </w:rPr>
              <w:t>范泽华</w:t>
            </w:r>
          </w:p>
        </w:tc>
        <w:tc>
          <w:tcPr>
            <w:tcW w:w="845" w:type="dxa"/>
            <w:tcBorders>
              <w:top w:val="nil"/>
              <w:left w:val="nil"/>
              <w:bottom w:val="single" w:color="auto" w:sz="4" w:space="0"/>
              <w:right w:val="single" w:color="auto" w:sz="4" w:space="0"/>
            </w:tcBorders>
            <w:vAlign w:val="center"/>
          </w:tcPr>
          <w:p w14:paraId="0F6D1206">
            <w:pPr>
              <w:spacing w:line="360" w:lineRule="exact"/>
              <w:jc w:val="center"/>
              <w:rPr>
                <w:rFonts w:eastAsia="方正仿宋简体"/>
                <w:sz w:val="24"/>
                <w:szCs w:val="24"/>
              </w:rPr>
            </w:pPr>
            <w:r>
              <w:rPr>
                <w:rFonts w:eastAsia="方正仿宋简体"/>
                <w:sz w:val="24"/>
                <w:szCs w:val="24"/>
              </w:rPr>
              <w:t>男</w:t>
            </w:r>
          </w:p>
        </w:tc>
        <w:tc>
          <w:tcPr>
            <w:tcW w:w="1669" w:type="dxa"/>
            <w:tcBorders>
              <w:top w:val="nil"/>
              <w:left w:val="nil"/>
              <w:bottom w:val="single" w:color="auto" w:sz="4" w:space="0"/>
              <w:right w:val="single" w:color="auto" w:sz="4" w:space="0"/>
            </w:tcBorders>
            <w:vAlign w:val="center"/>
          </w:tcPr>
          <w:p w14:paraId="691715F9">
            <w:pPr>
              <w:spacing w:line="360" w:lineRule="exact"/>
              <w:jc w:val="center"/>
              <w:rPr>
                <w:rFonts w:eastAsia="方正仿宋简体"/>
                <w:sz w:val="24"/>
                <w:szCs w:val="24"/>
              </w:rPr>
            </w:pPr>
            <w:r>
              <w:rPr>
                <w:rFonts w:eastAsia="方正仿宋简体"/>
                <w:sz w:val="24"/>
                <w:szCs w:val="24"/>
              </w:rPr>
              <w:t>高级工程师</w:t>
            </w:r>
          </w:p>
        </w:tc>
        <w:tc>
          <w:tcPr>
            <w:tcW w:w="3920" w:type="dxa"/>
            <w:tcBorders>
              <w:top w:val="nil"/>
              <w:left w:val="nil"/>
              <w:bottom w:val="single" w:color="auto" w:sz="4" w:space="0"/>
              <w:right w:val="single" w:color="auto" w:sz="4" w:space="0"/>
            </w:tcBorders>
            <w:vAlign w:val="center"/>
          </w:tcPr>
          <w:p w14:paraId="1D0C9BD4">
            <w:pPr>
              <w:spacing w:line="360" w:lineRule="exact"/>
              <w:rPr>
                <w:rFonts w:eastAsia="方正仿宋简体"/>
                <w:sz w:val="24"/>
                <w:szCs w:val="24"/>
              </w:rPr>
            </w:pPr>
            <w:r>
              <w:rPr>
                <w:rFonts w:eastAsia="方正仿宋简体"/>
                <w:sz w:val="24"/>
                <w:szCs w:val="24"/>
              </w:rPr>
              <w:t>化工、石化、医药、轻工、橡胶制品、防治、皮革及其制品、机械制造</w:t>
            </w:r>
          </w:p>
        </w:tc>
        <w:tc>
          <w:tcPr>
            <w:tcW w:w="3640" w:type="dxa"/>
            <w:tcBorders>
              <w:top w:val="nil"/>
              <w:left w:val="nil"/>
              <w:bottom w:val="single" w:color="auto" w:sz="4" w:space="0"/>
              <w:right w:val="single" w:color="auto" w:sz="4" w:space="0"/>
            </w:tcBorders>
            <w:vAlign w:val="center"/>
          </w:tcPr>
          <w:p w14:paraId="119CC1DC">
            <w:pPr>
              <w:spacing w:line="360" w:lineRule="exact"/>
              <w:jc w:val="center"/>
              <w:rPr>
                <w:rFonts w:eastAsia="方正仿宋简体"/>
                <w:sz w:val="24"/>
                <w:szCs w:val="24"/>
              </w:rPr>
            </w:pPr>
            <w:r>
              <w:rPr>
                <w:rFonts w:eastAsia="方正仿宋简体"/>
                <w:sz w:val="24"/>
                <w:szCs w:val="24"/>
              </w:rPr>
              <w:t>三明鑫建环保科技有限公司</w:t>
            </w:r>
          </w:p>
        </w:tc>
        <w:tc>
          <w:tcPr>
            <w:tcW w:w="1835" w:type="dxa"/>
            <w:tcBorders>
              <w:top w:val="nil"/>
              <w:left w:val="nil"/>
              <w:bottom w:val="single" w:color="auto" w:sz="4" w:space="0"/>
              <w:right w:val="single" w:color="auto" w:sz="4" w:space="0"/>
            </w:tcBorders>
            <w:vAlign w:val="center"/>
          </w:tcPr>
          <w:p w14:paraId="7DF0A0F3">
            <w:pPr>
              <w:spacing w:line="360" w:lineRule="exact"/>
              <w:jc w:val="center"/>
              <w:rPr>
                <w:rFonts w:eastAsia="方正仿宋简体"/>
                <w:sz w:val="24"/>
                <w:szCs w:val="24"/>
              </w:rPr>
            </w:pPr>
            <w:r>
              <w:rPr>
                <w:rFonts w:eastAsia="方正仿宋简体"/>
                <w:sz w:val="24"/>
                <w:szCs w:val="24"/>
              </w:rPr>
              <w:t>18006983988</w:t>
            </w:r>
          </w:p>
        </w:tc>
      </w:tr>
      <w:tr w14:paraId="62BC49DD">
        <w:tblPrEx>
          <w:tblCellMar>
            <w:top w:w="0" w:type="dxa"/>
            <w:left w:w="108" w:type="dxa"/>
            <w:bottom w:w="0" w:type="dxa"/>
            <w:right w:w="108" w:type="dxa"/>
          </w:tblCellMar>
        </w:tblPrEx>
        <w:trPr>
          <w:trHeight w:val="1183" w:hRule="atLeast"/>
        </w:trPr>
        <w:tc>
          <w:tcPr>
            <w:tcW w:w="739" w:type="dxa"/>
            <w:tcBorders>
              <w:top w:val="nil"/>
              <w:left w:val="single" w:color="auto" w:sz="4" w:space="0"/>
              <w:bottom w:val="single" w:color="auto" w:sz="4" w:space="0"/>
              <w:right w:val="single" w:color="auto" w:sz="4" w:space="0"/>
            </w:tcBorders>
            <w:vAlign w:val="center"/>
          </w:tcPr>
          <w:p w14:paraId="43A85DF3">
            <w:pPr>
              <w:spacing w:line="360" w:lineRule="exact"/>
              <w:jc w:val="center"/>
              <w:rPr>
                <w:rFonts w:eastAsia="方正仿宋简体"/>
                <w:sz w:val="24"/>
                <w:szCs w:val="24"/>
              </w:rPr>
            </w:pPr>
            <w:r>
              <w:rPr>
                <w:rFonts w:eastAsia="方正仿宋简体"/>
                <w:sz w:val="24"/>
                <w:szCs w:val="24"/>
              </w:rPr>
              <w:t>5</w:t>
            </w:r>
          </w:p>
        </w:tc>
        <w:tc>
          <w:tcPr>
            <w:tcW w:w="1306" w:type="dxa"/>
            <w:tcBorders>
              <w:top w:val="nil"/>
              <w:left w:val="nil"/>
              <w:bottom w:val="single" w:color="auto" w:sz="4" w:space="0"/>
              <w:right w:val="single" w:color="auto" w:sz="4" w:space="0"/>
            </w:tcBorders>
            <w:vAlign w:val="center"/>
          </w:tcPr>
          <w:p w14:paraId="2BD7C61F">
            <w:pPr>
              <w:spacing w:line="360" w:lineRule="exact"/>
              <w:jc w:val="center"/>
              <w:rPr>
                <w:rFonts w:eastAsia="方正仿宋简体"/>
                <w:sz w:val="24"/>
                <w:szCs w:val="24"/>
              </w:rPr>
            </w:pPr>
            <w:r>
              <w:rPr>
                <w:rFonts w:eastAsia="方正仿宋简体"/>
                <w:sz w:val="24"/>
                <w:szCs w:val="24"/>
              </w:rPr>
              <w:t>曹家新</w:t>
            </w:r>
          </w:p>
        </w:tc>
        <w:tc>
          <w:tcPr>
            <w:tcW w:w="845" w:type="dxa"/>
            <w:tcBorders>
              <w:top w:val="nil"/>
              <w:left w:val="nil"/>
              <w:bottom w:val="single" w:color="auto" w:sz="4" w:space="0"/>
              <w:right w:val="single" w:color="auto" w:sz="4" w:space="0"/>
            </w:tcBorders>
            <w:vAlign w:val="center"/>
          </w:tcPr>
          <w:p w14:paraId="0DC77E3A">
            <w:pPr>
              <w:spacing w:line="360" w:lineRule="exact"/>
              <w:jc w:val="center"/>
              <w:rPr>
                <w:rFonts w:eastAsia="方正仿宋简体"/>
                <w:sz w:val="24"/>
                <w:szCs w:val="24"/>
              </w:rPr>
            </w:pPr>
            <w:r>
              <w:rPr>
                <w:rFonts w:eastAsia="方正仿宋简体"/>
                <w:sz w:val="24"/>
                <w:szCs w:val="24"/>
              </w:rPr>
              <w:t>男</w:t>
            </w:r>
          </w:p>
        </w:tc>
        <w:tc>
          <w:tcPr>
            <w:tcW w:w="1669" w:type="dxa"/>
            <w:tcBorders>
              <w:top w:val="nil"/>
              <w:left w:val="nil"/>
              <w:bottom w:val="single" w:color="auto" w:sz="4" w:space="0"/>
              <w:right w:val="single" w:color="auto" w:sz="4" w:space="0"/>
            </w:tcBorders>
            <w:vAlign w:val="center"/>
          </w:tcPr>
          <w:p w14:paraId="3D231D0B">
            <w:pPr>
              <w:spacing w:line="360" w:lineRule="exact"/>
              <w:jc w:val="center"/>
              <w:rPr>
                <w:rFonts w:eastAsia="方正仿宋简体"/>
                <w:sz w:val="24"/>
                <w:szCs w:val="24"/>
              </w:rPr>
            </w:pPr>
            <w:r>
              <w:rPr>
                <w:rFonts w:eastAsia="方正仿宋简体"/>
                <w:sz w:val="24"/>
                <w:szCs w:val="24"/>
              </w:rPr>
              <w:t>高级工程师</w:t>
            </w:r>
          </w:p>
        </w:tc>
        <w:tc>
          <w:tcPr>
            <w:tcW w:w="3920" w:type="dxa"/>
            <w:tcBorders>
              <w:top w:val="nil"/>
              <w:left w:val="nil"/>
              <w:bottom w:val="single" w:color="auto" w:sz="4" w:space="0"/>
              <w:right w:val="single" w:color="auto" w:sz="4" w:space="0"/>
            </w:tcBorders>
            <w:vAlign w:val="center"/>
          </w:tcPr>
          <w:p w14:paraId="76581EAC">
            <w:pPr>
              <w:spacing w:line="360" w:lineRule="exact"/>
              <w:rPr>
                <w:rFonts w:eastAsia="方正仿宋简体"/>
                <w:sz w:val="24"/>
                <w:szCs w:val="24"/>
              </w:rPr>
            </w:pPr>
            <w:r>
              <w:rPr>
                <w:rFonts w:eastAsia="方正仿宋简体"/>
                <w:sz w:val="24"/>
                <w:szCs w:val="24"/>
              </w:rPr>
              <w:t>化工、石化、医药、轻工、橡胶制品、皮革及其制品、机械制造</w:t>
            </w:r>
          </w:p>
        </w:tc>
        <w:tc>
          <w:tcPr>
            <w:tcW w:w="3640" w:type="dxa"/>
            <w:tcBorders>
              <w:top w:val="nil"/>
              <w:left w:val="nil"/>
              <w:bottom w:val="single" w:color="auto" w:sz="4" w:space="0"/>
              <w:right w:val="single" w:color="auto" w:sz="4" w:space="0"/>
            </w:tcBorders>
            <w:vAlign w:val="center"/>
          </w:tcPr>
          <w:p w14:paraId="054BFA29">
            <w:pPr>
              <w:spacing w:line="360" w:lineRule="exact"/>
              <w:jc w:val="center"/>
              <w:rPr>
                <w:rFonts w:eastAsia="方正仿宋简体"/>
                <w:sz w:val="24"/>
                <w:szCs w:val="24"/>
              </w:rPr>
            </w:pPr>
            <w:r>
              <w:rPr>
                <w:rFonts w:eastAsia="方正仿宋简体"/>
                <w:sz w:val="24"/>
                <w:szCs w:val="24"/>
              </w:rPr>
              <w:t>沙县环境监测站</w:t>
            </w:r>
          </w:p>
        </w:tc>
        <w:tc>
          <w:tcPr>
            <w:tcW w:w="1835" w:type="dxa"/>
            <w:tcBorders>
              <w:top w:val="nil"/>
              <w:left w:val="nil"/>
              <w:bottom w:val="single" w:color="auto" w:sz="4" w:space="0"/>
              <w:right w:val="single" w:color="auto" w:sz="4" w:space="0"/>
            </w:tcBorders>
            <w:vAlign w:val="center"/>
          </w:tcPr>
          <w:p w14:paraId="3B5C53A5">
            <w:pPr>
              <w:spacing w:line="360" w:lineRule="exact"/>
              <w:jc w:val="center"/>
              <w:rPr>
                <w:rFonts w:eastAsia="方正仿宋简体"/>
                <w:sz w:val="24"/>
                <w:szCs w:val="24"/>
              </w:rPr>
            </w:pPr>
            <w:r>
              <w:rPr>
                <w:rFonts w:eastAsia="方正仿宋简体"/>
                <w:sz w:val="24"/>
                <w:szCs w:val="24"/>
              </w:rPr>
              <w:t>13605993989</w:t>
            </w:r>
          </w:p>
        </w:tc>
      </w:tr>
      <w:tr w14:paraId="658F0C07">
        <w:tblPrEx>
          <w:tblCellMar>
            <w:top w:w="0" w:type="dxa"/>
            <w:left w:w="108" w:type="dxa"/>
            <w:bottom w:w="0" w:type="dxa"/>
            <w:right w:w="108" w:type="dxa"/>
          </w:tblCellMar>
        </w:tblPrEx>
        <w:trPr>
          <w:trHeight w:val="1172" w:hRule="atLeast"/>
        </w:trPr>
        <w:tc>
          <w:tcPr>
            <w:tcW w:w="739" w:type="dxa"/>
            <w:tcBorders>
              <w:top w:val="single" w:color="auto" w:sz="4" w:space="0"/>
              <w:left w:val="single" w:color="auto" w:sz="4" w:space="0"/>
              <w:bottom w:val="single" w:color="auto" w:sz="4" w:space="0"/>
              <w:right w:val="single" w:color="auto" w:sz="4" w:space="0"/>
            </w:tcBorders>
            <w:vAlign w:val="center"/>
          </w:tcPr>
          <w:p w14:paraId="273A2B49">
            <w:pPr>
              <w:spacing w:line="360" w:lineRule="exact"/>
              <w:jc w:val="center"/>
              <w:rPr>
                <w:rFonts w:eastAsia="方正仿宋简体"/>
                <w:sz w:val="24"/>
                <w:szCs w:val="24"/>
              </w:rPr>
            </w:pPr>
            <w:r>
              <w:rPr>
                <w:rFonts w:eastAsia="方正仿宋简体"/>
                <w:sz w:val="24"/>
                <w:szCs w:val="24"/>
              </w:rPr>
              <w:t>6</w:t>
            </w:r>
          </w:p>
        </w:tc>
        <w:tc>
          <w:tcPr>
            <w:tcW w:w="1306" w:type="dxa"/>
            <w:tcBorders>
              <w:top w:val="single" w:color="auto" w:sz="4" w:space="0"/>
              <w:left w:val="single" w:color="auto" w:sz="4" w:space="0"/>
              <w:bottom w:val="single" w:color="auto" w:sz="4" w:space="0"/>
              <w:right w:val="single" w:color="auto" w:sz="4" w:space="0"/>
            </w:tcBorders>
            <w:vAlign w:val="center"/>
          </w:tcPr>
          <w:p w14:paraId="1D32F1B6">
            <w:pPr>
              <w:spacing w:line="360" w:lineRule="exact"/>
              <w:jc w:val="center"/>
              <w:rPr>
                <w:rFonts w:eastAsia="方正仿宋简体"/>
                <w:sz w:val="24"/>
                <w:szCs w:val="24"/>
              </w:rPr>
            </w:pPr>
            <w:r>
              <w:rPr>
                <w:rFonts w:eastAsia="方正仿宋简体"/>
                <w:sz w:val="24"/>
                <w:szCs w:val="24"/>
              </w:rPr>
              <w:t>梅永进</w:t>
            </w:r>
          </w:p>
        </w:tc>
        <w:tc>
          <w:tcPr>
            <w:tcW w:w="845" w:type="dxa"/>
            <w:tcBorders>
              <w:top w:val="single" w:color="auto" w:sz="4" w:space="0"/>
              <w:left w:val="single" w:color="auto" w:sz="4" w:space="0"/>
              <w:bottom w:val="single" w:color="auto" w:sz="4" w:space="0"/>
              <w:right w:val="single" w:color="auto" w:sz="4" w:space="0"/>
            </w:tcBorders>
            <w:vAlign w:val="center"/>
          </w:tcPr>
          <w:p w14:paraId="05352D85">
            <w:pPr>
              <w:spacing w:line="360" w:lineRule="exact"/>
              <w:jc w:val="center"/>
              <w:rPr>
                <w:rFonts w:eastAsia="方正仿宋简体"/>
                <w:sz w:val="24"/>
                <w:szCs w:val="24"/>
              </w:rPr>
            </w:pPr>
            <w:r>
              <w:rPr>
                <w:rFonts w:eastAsia="方正仿宋简体"/>
                <w:sz w:val="24"/>
                <w:szCs w:val="24"/>
              </w:rPr>
              <w:t>男</w:t>
            </w:r>
          </w:p>
        </w:tc>
        <w:tc>
          <w:tcPr>
            <w:tcW w:w="1669" w:type="dxa"/>
            <w:tcBorders>
              <w:top w:val="single" w:color="auto" w:sz="4" w:space="0"/>
              <w:left w:val="single" w:color="auto" w:sz="4" w:space="0"/>
              <w:bottom w:val="single" w:color="auto" w:sz="4" w:space="0"/>
              <w:right w:val="single" w:color="auto" w:sz="4" w:space="0"/>
            </w:tcBorders>
            <w:vAlign w:val="center"/>
          </w:tcPr>
          <w:p w14:paraId="66766212">
            <w:pPr>
              <w:spacing w:line="360" w:lineRule="exact"/>
              <w:jc w:val="center"/>
              <w:rPr>
                <w:rFonts w:eastAsia="方正仿宋简体"/>
                <w:sz w:val="24"/>
                <w:szCs w:val="24"/>
              </w:rPr>
            </w:pPr>
            <w:r>
              <w:rPr>
                <w:rFonts w:eastAsia="方正仿宋简体"/>
                <w:sz w:val="24"/>
                <w:szCs w:val="24"/>
              </w:rPr>
              <w:t>高级工程师</w:t>
            </w:r>
          </w:p>
        </w:tc>
        <w:tc>
          <w:tcPr>
            <w:tcW w:w="3920" w:type="dxa"/>
            <w:tcBorders>
              <w:top w:val="single" w:color="auto" w:sz="4" w:space="0"/>
              <w:left w:val="single" w:color="auto" w:sz="4" w:space="0"/>
              <w:bottom w:val="single" w:color="auto" w:sz="4" w:space="0"/>
              <w:right w:val="single" w:color="auto" w:sz="4" w:space="0"/>
            </w:tcBorders>
            <w:vAlign w:val="center"/>
          </w:tcPr>
          <w:p w14:paraId="2BB929E2">
            <w:pPr>
              <w:spacing w:line="360" w:lineRule="exact"/>
              <w:rPr>
                <w:rFonts w:eastAsia="方正仿宋简体"/>
                <w:sz w:val="24"/>
                <w:szCs w:val="24"/>
              </w:rPr>
            </w:pPr>
            <w:r>
              <w:rPr>
                <w:rFonts w:eastAsia="方正仿宋简体"/>
                <w:sz w:val="24"/>
                <w:szCs w:val="24"/>
              </w:rPr>
              <w:t>化工、石化、医药、轻工、橡胶制品、金属表面处理及热处理加工</w:t>
            </w:r>
          </w:p>
        </w:tc>
        <w:tc>
          <w:tcPr>
            <w:tcW w:w="3640" w:type="dxa"/>
            <w:tcBorders>
              <w:top w:val="single" w:color="auto" w:sz="4" w:space="0"/>
              <w:left w:val="single" w:color="auto" w:sz="4" w:space="0"/>
              <w:bottom w:val="single" w:color="auto" w:sz="4" w:space="0"/>
              <w:right w:val="single" w:color="auto" w:sz="4" w:space="0"/>
            </w:tcBorders>
            <w:vAlign w:val="center"/>
          </w:tcPr>
          <w:p w14:paraId="10D2083F">
            <w:pPr>
              <w:spacing w:line="360" w:lineRule="exact"/>
              <w:jc w:val="center"/>
              <w:rPr>
                <w:rFonts w:eastAsia="方正仿宋简体"/>
                <w:sz w:val="24"/>
                <w:szCs w:val="24"/>
              </w:rPr>
            </w:pPr>
            <w:r>
              <w:rPr>
                <w:rFonts w:eastAsia="方正仿宋简体"/>
                <w:sz w:val="24"/>
                <w:szCs w:val="24"/>
              </w:rPr>
              <w:t>沙县环境监测站</w:t>
            </w:r>
          </w:p>
        </w:tc>
        <w:tc>
          <w:tcPr>
            <w:tcW w:w="1835" w:type="dxa"/>
            <w:tcBorders>
              <w:top w:val="single" w:color="auto" w:sz="4" w:space="0"/>
              <w:left w:val="single" w:color="auto" w:sz="4" w:space="0"/>
              <w:bottom w:val="single" w:color="auto" w:sz="4" w:space="0"/>
              <w:right w:val="single" w:color="auto" w:sz="4" w:space="0"/>
            </w:tcBorders>
            <w:vAlign w:val="center"/>
          </w:tcPr>
          <w:p w14:paraId="59986F0A">
            <w:pPr>
              <w:spacing w:line="360" w:lineRule="exact"/>
              <w:jc w:val="center"/>
              <w:rPr>
                <w:rFonts w:eastAsia="方正仿宋简体"/>
                <w:sz w:val="24"/>
                <w:szCs w:val="24"/>
              </w:rPr>
            </w:pPr>
            <w:r>
              <w:rPr>
                <w:rFonts w:eastAsia="方正仿宋简体"/>
                <w:sz w:val="24"/>
                <w:szCs w:val="24"/>
              </w:rPr>
              <w:t>13850802406</w:t>
            </w:r>
          </w:p>
        </w:tc>
      </w:tr>
    </w:tbl>
    <w:p w14:paraId="4BD4ACCC">
      <w:pPr>
        <w:rPr>
          <w:rFonts w:ascii="宋体" w:hAnsi="宋体"/>
          <w:sz w:val="24"/>
        </w:rPr>
      </w:pPr>
    </w:p>
    <w:p w14:paraId="5EEF2010">
      <w:pPr>
        <w:spacing w:line="560" w:lineRule="exact"/>
        <w:rPr>
          <w:rFonts w:eastAsia="方正黑体简体"/>
          <w:sz w:val="32"/>
          <w:szCs w:val="32"/>
        </w:rPr>
      </w:pPr>
      <w:r>
        <w:rPr>
          <w:rFonts w:hint="eastAsia" w:eastAsia="方正黑体简体"/>
          <w:sz w:val="32"/>
          <w:szCs w:val="32"/>
        </w:rPr>
        <w:t>附件</w:t>
      </w:r>
      <w:r>
        <w:rPr>
          <w:rFonts w:eastAsia="方正黑体简体"/>
          <w:sz w:val="32"/>
          <w:szCs w:val="32"/>
        </w:rPr>
        <w:t>5</w:t>
      </w:r>
    </w:p>
    <w:p w14:paraId="7A8CA896">
      <w:pPr>
        <w:jc w:val="center"/>
        <w:rPr>
          <w:rFonts w:ascii="宋体" w:hAnsi="宋体"/>
          <w:sz w:val="24"/>
        </w:rPr>
      </w:pPr>
      <w:r>
        <w:rPr>
          <w:rFonts w:hint="eastAsia" w:ascii="宋体" w:hAnsi="宋体"/>
          <w:sz w:val="24"/>
        </w:rPr>
        <w:drawing>
          <wp:inline distT="0" distB="0" distL="0" distR="0">
            <wp:extent cx="8801100" cy="4724400"/>
            <wp:effectExtent l="19050" t="0" r="0" b="0"/>
            <wp:docPr id="1" name="图片 2" descr="洞天岩饮用水水源保护区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洞天岩饮用水水源保护区图.jpg"/>
                    <pic:cNvPicPr>
                      <a:picLocks noChangeAspect="1" noChangeArrowheads="1"/>
                    </pic:cNvPicPr>
                  </pic:nvPicPr>
                  <pic:blipFill>
                    <a:blip r:embed="rId13" cstate="print"/>
                    <a:srcRect/>
                    <a:stretch>
                      <a:fillRect/>
                    </a:stretch>
                  </pic:blipFill>
                  <pic:spPr>
                    <a:xfrm>
                      <a:off x="0" y="0"/>
                      <a:ext cx="8801100" cy="4724400"/>
                    </a:xfrm>
                    <a:prstGeom prst="rect">
                      <a:avLst/>
                    </a:prstGeom>
                    <a:noFill/>
                    <a:ln w="9525">
                      <a:noFill/>
                      <a:miter lim="800000"/>
                      <a:headEnd/>
                      <a:tailEnd/>
                    </a:ln>
                  </pic:spPr>
                </pic:pic>
              </a:graphicData>
            </a:graphic>
          </wp:inline>
        </w:drawing>
      </w:r>
    </w:p>
    <w:p w14:paraId="6EDACD35">
      <w:pPr>
        <w:rPr>
          <w:rFonts w:ascii="宋体" w:hAnsi="宋体"/>
          <w:sz w:val="24"/>
        </w:rPr>
      </w:pPr>
    </w:p>
    <w:p w14:paraId="0CD6BD55">
      <w:pPr>
        <w:jc w:val="center"/>
        <w:rPr>
          <w:rFonts w:ascii="宋体" w:hAnsi="宋体"/>
          <w:sz w:val="24"/>
        </w:rPr>
      </w:pPr>
      <w:r>
        <w:rPr>
          <w:rFonts w:hint="eastAsia" w:ascii="宋体" w:hAnsi="宋体"/>
          <w:sz w:val="24"/>
        </w:rPr>
        <w:drawing>
          <wp:inline distT="0" distB="0" distL="0" distR="0">
            <wp:extent cx="8296275" cy="4876800"/>
            <wp:effectExtent l="19050" t="0" r="9525" b="0"/>
            <wp:docPr id="2" name="图片 2" descr="洞天岩饮用水水源保护区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洞天岩饮用水水源保护区图.jpg"/>
                    <pic:cNvPicPr>
                      <a:picLocks noChangeAspect="1" noChangeArrowheads="1"/>
                    </pic:cNvPicPr>
                  </pic:nvPicPr>
                  <pic:blipFill>
                    <a:blip r:embed="rId14" cstate="print"/>
                    <a:srcRect/>
                    <a:stretch>
                      <a:fillRect/>
                    </a:stretch>
                  </pic:blipFill>
                  <pic:spPr>
                    <a:xfrm>
                      <a:off x="0" y="0"/>
                      <a:ext cx="8296275" cy="4876800"/>
                    </a:xfrm>
                    <a:prstGeom prst="rect">
                      <a:avLst/>
                    </a:prstGeom>
                    <a:noFill/>
                    <a:ln w="9525">
                      <a:noFill/>
                      <a:miter lim="800000"/>
                      <a:headEnd/>
                      <a:tailEnd/>
                    </a:ln>
                  </pic:spPr>
                </pic:pic>
              </a:graphicData>
            </a:graphic>
          </wp:inline>
        </w:drawing>
      </w:r>
    </w:p>
    <w:p w14:paraId="6E2E7D43">
      <w:pPr>
        <w:rPr>
          <w:rFonts w:ascii="宋体" w:hAnsi="宋体"/>
          <w:sz w:val="24"/>
        </w:rPr>
      </w:pPr>
    </w:p>
    <w:p w14:paraId="62F2960B">
      <w:pPr>
        <w:rPr>
          <w:rFonts w:ascii="宋体" w:hAnsi="宋体"/>
          <w:sz w:val="24"/>
        </w:rPr>
      </w:pPr>
    </w:p>
    <w:p w14:paraId="60BD42F9">
      <w:pPr>
        <w:jc w:val="center"/>
        <w:rPr>
          <w:rFonts w:ascii="宋体" w:hAnsi="宋体"/>
          <w:sz w:val="24"/>
        </w:rPr>
      </w:pPr>
      <w:r>
        <w:rPr>
          <w:rFonts w:hint="eastAsia" w:ascii="宋体" w:hAnsi="宋体"/>
          <w:sz w:val="24"/>
        </w:rPr>
        <w:drawing>
          <wp:inline distT="0" distB="0" distL="0" distR="0">
            <wp:extent cx="8591550" cy="4333875"/>
            <wp:effectExtent l="19050" t="0" r="0" b="0"/>
            <wp:docPr id="3" name="图片 2" descr="洞天岩饮用水水源保护区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洞天岩饮用水水源保护区图.jpg"/>
                    <pic:cNvPicPr>
                      <a:picLocks noChangeAspect="1" noChangeArrowheads="1"/>
                    </pic:cNvPicPr>
                  </pic:nvPicPr>
                  <pic:blipFill>
                    <a:blip r:embed="rId15" cstate="print"/>
                    <a:srcRect/>
                    <a:stretch>
                      <a:fillRect/>
                    </a:stretch>
                  </pic:blipFill>
                  <pic:spPr>
                    <a:xfrm>
                      <a:off x="0" y="0"/>
                      <a:ext cx="8591550" cy="4333875"/>
                    </a:xfrm>
                    <a:prstGeom prst="rect">
                      <a:avLst/>
                    </a:prstGeom>
                    <a:noFill/>
                    <a:ln w="9525">
                      <a:noFill/>
                      <a:miter lim="800000"/>
                      <a:headEnd/>
                      <a:tailEnd/>
                    </a:ln>
                  </pic:spPr>
                </pic:pic>
              </a:graphicData>
            </a:graphic>
          </wp:inline>
        </w:drawing>
      </w:r>
    </w:p>
    <w:p w14:paraId="35FB7922">
      <w:pPr>
        <w:rPr>
          <w:rFonts w:ascii="宋体" w:hAnsi="宋体"/>
          <w:sz w:val="24"/>
        </w:rPr>
        <w:sectPr>
          <w:pgSz w:w="16838" w:h="11906" w:orient="landscape"/>
          <w:pgMar w:top="1797" w:right="1440" w:bottom="1797" w:left="1440" w:header="851" w:footer="992" w:gutter="0"/>
          <w:cols w:space="425" w:num="1"/>
          <w:docGrid w:type="linesAndChars" w:linePitch="312" w:charSpace="0"/>
        </w:sectPr>
      </w:pPr>
    </w:p>
    <w:p w14:paraId="57EC1A18">
      <w:pPr>
        <w:rPr>
          <w:rFonts w:eastAsia="方正黑体简体"/>
          <w:sz w:val="32"/>
          <w:szCs w:val="32"/>
        </w:rPr>
      </w:pPr>
      <w:r>
        <w:rPr>
          <w:rFonts w:eastAsia="方正黑体简体"/>
          <w:sz w:val="32"/>
          <w:szCs w:val="32"/>
        </w:rPr>
        <w:t>附件6</w:t>
      </w:r>
    </w:p>
    <w:p w14:paraId="124937CD">
      <w:pPr>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突发环境事件报告程序图</w:t>
      </w:r>
    </w:p>
    <w:p w14:paraId="686728B1">
      <w:pPr>
        <w:jc w:val="center"/>
        <w:rPr>
          <w:rFonts w:hint="eastAsia" w:ascii="宋体" w:hAnsi="宋体"/>
          <w:sz w:val="24"/>
        </w:rPr>
      </w:pPr>
    </w:p>
    <w:p w14:paraId="00ACDF95">
      <w:pPr>
        <w:rPr>
          <w:rFonts w:hint="eastAsia" w:ascii="宋体" w:hAnsi="宋体"/>
          <w:sz w:val="24"/>
        </w:rPr>
      </w:pPr>
      <w:r>
        <w:drawing>
          <wp:anchor distT="0" distB="0" distL="114300" distR="114300" simplePos="0" relativeHeight="251660288" behindDoc="0" locked="0" layoutInCell="1" allowOverlap="1">
            <wp:simplePos x="0" y="0"/>
            <wp:positionH relativeFrom="column">
              <wp:posOffset>733425</wp:posOffset>
            </wp:positionH>
            <wp:positionV relativeFrom="paragraph">
              <wp:posOffset>3810</wp:posOffset>
            </wp:positionV>
            <wp:extent cx="4410075" cy="6663690"/>
            <wp:effectExtent l="19050" t="0" r="9525" b="0"/>
            <wp:wrapSquare wrapText="bothSides"/>
            <wp:docPr id="4" name="图片 3" descr="fj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j6"/>
                    <pic:cNvPicPr>
                      <a:picLocks noChangeAspect="1" noChangeArrowheads="1"/>
                    </pic:cNvPicPr>
                  </pic:nvPicPr>
                  <pic:blipFill>
                    <a:blip r:embed="rId16" cstate="print"/>
                    <a:srcRect/>
                    <a:stretch>
                      <a:fillRect/>
                    </a:stretch>
                  </pic:blipFill>
                  <pic:spPr>
                    <a:xfrm>
                      <a:off x="0" y="0"/>
                      <a:ext cx="4410075" cy="6663690"/>
                    </a:xfrm>
                    <a:prstGeom prst="rect">
                      <a:avLst/>
                    </a:prstGeom>
                    <a:noFill/>
                    <a:ln w="9525">
                      <a:noFill/>
                      <a:miter lim="800000"/>
                      <a:headEnd/>
                      <a:tailEnd/>
                    </a:ln>
                  </pic:spPr>
                </pic:pic>
              </a:graphicData>
            </a:graphic>
          </wp:anchor>
        </w:drawing>
      </w:r>
    </w:p>
    <w:p w14:paraId="633F38E4">
      <w:pPr>
        <w:jc w:val="center"/>
        <w:rPr>
          <w:rFonts w:hint="eastAsia" w:ascii="宋体" w:hAnsi="宋体"/>
          <w:sz w:val="24"/>
        </w:rPr>
      </w:pPr>
    </w:p>
    <w:p w14:paraId="675AAA6D">
      <w:pPr>
        <w:rPr>
          <w:rFonts w:hint="eastAsia" w:ascii="宋体" w:hAnsi="宋体"/>
          <w:sz w:val="24"/>
        </w:rPr>
      </w:pPr>
    </w:p>
    <w:p w14:paraId="520B353E">
      <w:pPr>
        <w:rPr>
          <w:rFonts w:hint="eastAsia" w:ascii="宋体" w:hAnsi="宋体"/>
          <w:sz w:val="24"/>
        </w:rPr>
      </w:pPr>
    </w:p>
    <w:p w14:paraId="28384FBA">
      <w:pPr>
        <w:rPr>
          <w:rFonts w:hint="eastAsia" w:ascii="宋体" w:hAnsi="宋体"/>
          <w:sz w:val="24"/>
        </w:rPr>
      </w:pPr>
    </w:p>
    <w:p w14:paraId="364CA2A6">
      <w:pPr>
        <w:rPr>
          <w:rFonts w:hint="eastAsia" w:ascii="宋体" w:hAnsi="宋体"/>
          <w:sz w:val="24"/>
        </w:rPr>
      </w:pPr>
    </w:p>
    <w:p w14:paraId="340BE7A4">
      <w:pPr>
        <w:rPr>
          <w:rFonts w:hint="eastAsia" w:ascii="宋体" w:hAnsi="宋体"/>
          <w:sz w:val="24"/>
        </w:rPr>
      </w:pPr>
    </w:p>
    <w:p w14:paraId="6F684EA4">
      <w:pPr>
        <w:rPr>
          <w:rFonts w:hint="eastAsia" w:ascii="宋体" w:hAnsi="宋体"/>
          <w:sz w:val="24"/>
        </w:rPr>
      </w:pPr>
    </w:p>
    <w:p w14:paraId="59B01F75">
      <w:pPr>
        <w:rPr>
          <w:rFonts w:hint="eastAsia" w:ascii="宋体" w:hAnsi="宋体"/>
          <w:sz w:val="24"/>
        </w:rPr>
      </w:pPr>
    </w:p>
    <w:p w14:paraId="61BC302D">
      <w:pPr>
        <w:rPr>
          <w:rFonts w:hint="eastAsia" w:ascii="宋体" w:hAnsi="宋体"/>
          <w:sz w:val="24"/>
        </w:rPr>
      </w:pPr>
    </w:p>
    <w:p w14:paraId="1046723F">
      <w:pPr>
        <w:rPr>
          <w:rFonts w:hint="eastAsia" w:ascii="宋体" w:hAnsi="宋体"/>
          <w:sz w:val="24"/>
        </w:rPr>
      </w:pPr>
    </w:p>
    <w:p w14:paraId="2AE7C009">
      <w:pPr>
        <w:rPr>
          <w:rFonts w:hint="eastAsia" w:ascii="宋体" w:hAnsi="宋体"/>
          <w:sz w:val="24"/>
        </w:rPr>
      </w:pPr>
    </w:p>
    <w:p w14:paraId="38188B86">
      <w:pPr>
        <w:rPr>
          <w:rFonts w:hint="eastAsia" w:ascii="宋体" w:hAnsi="宋体"/>
          <w:sz w:val="24"/>
        </w:rPr>
      </w:pPr>
    </w:p>
    <w:p w14:paraId="31A68ECE">
      <w:pPr>
        <w:rPr>
          <w:rFonts w:hint="eastAsia" w:ascii="宋体" w:hAnsi="宋体"/>
          <w:sz w:val="24"/>
        </w:rPr>
      </w:pPr>
    </w:p>
    <w:p w14:paraId="4FFBE43E">
      <w:pPr>
        <w:rPr>
          <w:rFonts w:hint="eastAsia" w:ascii="宋体" w:hAnsi="宋体"/>
          <w:sz w:val="24"/>
        </w:rPr>
      </w:pPr>
    </w:p>
    <w:p w14:paraId="02E103AE">
      <w:pPr>
        <w:rPr>
          <w:rFonts w:hint="eastAsia" w:ascii="宋体" w:hAnsi="宋体"/>
          <w:sz w:val="24"/>
        </w:rPr>
      </w:pPr>
    </w:p>
    <w:p w14:paraId="2DBF7665">
      <w:pPr>
        <w:rPr>
          <w:rFonts w:hint="eastAsia" w:ascii="宋体" w:hAnsi="宋体"/>
          <w:sz w:val="24"/>
        </w:rPr>
      </w:pPr>
    </w:p>
    <w:p w14:paraId="105B20D4">
      <w:pPr>
        <w:rPr>
          <w:rFonts w:hint="eastAsia" w:eastAsia="方正黑体简体"/>
        </w:rPr>
      </w:pPr>
      <w:r>
        <w:rPr>
          <w:rFonts w:eastAsia="方正黑体简体"/>
          <w:sz w:val="32"/>
          <w:szCs w:val="32"/>
        </w:rPr>
        <w:t>附件7</w:t>
      </w:r>
      <w:bookmarkStart w:id="109" w:name="_GoBack"/>
      <w:bookmarkEnd w:id="109"/>
    </w:p>
    <w:p w14:paraId="14923FC2">
      <w:pPr>
        <w:spacing w:afterLines="5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应急物资贮存情况表</w:t>
      </w:r>
    </w:p>
    <w:tbl>
      <w:tblPr>
        <w:tblStyle w:val="7"/>
        <w:tblW w:w="8475" w:type="dxa"/>
        <w:jc w:val="center"/>
        <w:tblLayout w:type="autofit"/>
        <w:tblCellMar>
          <w:top w:w="0" w:type="dxa"/>
          <w:left w:w="108" w:type="dxa"/>
          <w:bottom w:w="0" w:type="dxa"/>
          <w:right w:w="108" w:type="dxa"/>
        </w:tblCellMar>
      </w:tblPr>
      <w:tblGrid>
        <w:gridCol w:w="555"/>
        <w:gridCol w:w="1800"/>
        <w:gridCol w:w="1080"/>
        <w:gridCol w:w="3240"/>
        <w:gridCol w:w="1800"/>
      </w:tblGrid>
      <w:tr w14:paraId="25F85633">
        <w:tblPrEx>
          <w:tblCellMar>
            <w:top w:w="0" w:type="dxa"/>
            <w:left w:w="108" w:type="dxa"/>
            <w:bottom w:w="0" w:type="dxa"/>
            <w:right w:w="108" w:type="dxa"/>
          </w:tblCellMar>
        </w:tblPrEx>
        <w:trPr>
          <w:trHeight w:val="928"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346FC244">
            <w:pPr>
              <w:jc w:val="center"/>
              <w:rPr>
                <w:rFonts w:hint="eastAsia" w:ascii="方正黑体简体" w:hAnsi="宋体" w:eastAsia="方正黑体简体" w:cs="宋体"/>
                <w:sz w:val="24"/>
              </w:rPr>
            </w:pPr>
            <w:r>
              <w:rPr>
                <w:rFonts w:hint="eastAsia" w:ascii="方正黑体简体" w:hAnsi="宋体" w:eastAsia="方正黑体简体" w:cs="宋体"/>
                <w:sz w:val="24"/>
              </w:rPr>
              <w:t>序号</w:t>
            </w:r>
          </w:p>
        </w:tc>
        <w:tc>
          <w:tcPr>
            <w:tcW w:w="1800" w:type="dxa"/>
            <w:tcBorders>
              <w:top w:val="single" w:color="auto" w:sz="4" w:space="0"/>
              <w:left w:val="nil"/>
              <w:bottom w:val="single" w:color="auto" w:sz="4" w:space="0"/>
              <w:right w:val="single" w:color="auto" w:sz="4" w:space="0"/>
            </w:tcBorders>
            <w:vAlign w:val="center"/>
          </w:tcPr>
          <w:p w14:paraId="3FDD0E68">
            <w:pPr>
              <w:jc w:val="center"/>
              <w:rPr>
                <w:rFonts w:hint="eastAsia" w:ascii="方正黑体简体" w:hAnsi="宋体" w:eastAsia="方正黑体简体" w:cs="宋体"/>
                <w:sz w:val="24"/>
              </w:rPr>
            </w:pPr>
            <w:r>
              <w:rPr>
                <w:rFonts w:hint="eastAsia" w:ascii="方正黑体简体" w:hAnsi="宋体" w:eastAsia="方正黑体简体" w:cs="宋体"/>
                <w:sz w:val="24"/>
              </w:rPr>
              <w:t>物资名称</w:t>
            </w:r>
          </w:p>
        </w:tc>
        <w:tc>
          <w:tcPr>
            <w:tcW w:w="1080" w:type="dxa"/>
            <w:tcBorders>
              <w:top w:val="single" w:color="auto" w:sz="4" w:space="0"/>
              <w:left w:val="nil"/>
              <w:bottom w:val="single" w:color="auto" w:sz="4" w:space="0"/>
              <w:right w:val="single" w:color="auto" w:sz="4" w:space="0"/>
            </w:tcBorders>
            <w:vAlign w:val="center"/>
          </w:tcPr>
          <w:p w14:paraId="6AAE91E8">
            <w:pPr>
              <w:jc w:val="center"/>
              <w:rPr>
                <w:rFonts w:hint="eastAsia" w:ascii="方正黑体简体" w:hAnsi="宋体" w:eastAsia="方正黑体简体" w:cs="宋体"/>
                <w:sz w:val="24"/>
              </w:rPr>
            </w:pPr>
            <w:r>
              <w:rPr>
                <w:rFonts w:hint="eastAsia" w:ascii="方正黑体简体" w:hAnsi="宋体" w:eastAsia="方正黑体简体" w:cs="宋体"/>
                <w:sz w:val="24"/>
              </w:rPr>
              <w:t>常规</w:t>
            </w:r>
          </w:p>
          <w:p w14:paraId="1E4E31CA">
            <w:pPr>
              <w:jc w:val="center"/>
              <w:rPr>
                <w:rFonts w:hint="eastAsia" w:ascii="方正黑体简体" w:hAnsi="宋体" w:eastAsia="方正黑体简体" w:cs="宋体"/>
                <w:sz w:val="24"/>
              </w:rPr>
            </w:pPr>
            <w:r>
              <w:rPr>
                <w:rFonts w:hint="eastAsia" w:ascii="方正黑体简体" w:hAnsi="宋体" w:eastAsia="方正黑体简体" w:cs="宋体"/>
                <w:sz w:val="24"/>
              </w:rPr>
              <w:t>贮量</w:t>
            </w:r>
          </w:p>
        </w:tc>
        <w:tc>
          <w:tcPr>
            <w:tcW w:w="3240" w:type="dxa"/>
            <w:tcBorders>
              <w:top w:val="single" w:color="auto" w:sz="4" w:space="0"/>
              <w:left w:val="nil"/>
              <w:bottom w:val="single" w:color="auto" w:sz="4" w:space="0"/>
              <w:right w:val="single" w:color="auto" w:sz="4" w:space="0"/>
            </w:tcBorders>
            <w:vAlign w:val="center"/>
          </w:tcPr>
          <w:p w14:paraId="27475225">
            <w:pPr>
              <w:jc w:val="center"/>
              <w:rPr>
                <w:rFonts w:hint="eastAsia" w:ascii="方正黑体简体" w:hAnsi="宋体" w:eastAsia="方正黑体简体" w:cs="宋体"/>
                <w:sz w:val="24"/>
              </w:rPr>
            </w:pPr>
            <w:r>
              <w:rPr>
                <w:rFonts w:hint="eastAsia" w:ascii="方正黑体简体" w:hAnsi="宋体" w:eastAsia="方正黑体简体" w:cs="宋体"/>
                <w:sz w:val="24"/>
              </w:rPr>
              <w:t>存放位置</w:t>
            </w:r>
          </w:p>
        </w:tc>
        <w:tc>
          <w:tcPr>
            <w:tcW w:w="1800" w:type="dxa"/>
            <w:tcBorders>
              <w:top w:val="single" w:color="auto" w:sz="4" w:space="0"/>
              <w:left w:val="nil"/>
              <w:bottom w:val="single" w:color="auto" w:sz="4" w:space="0"/>
              <w:right w:val="single" w:color="auto" w:sz="4" w:space="0"/>
            </w:tcBorders>
            <w:vAlign w:val="center"/>
          </w:tcPr>
          <w:p w14:paraId="076DADF6">
            <w:pPr>
              <w:jc w:val="center"/>
              <w:rPr>
                <w:rFonts w:hint="eastAsia" w:ascii="方正黑体简体" w:hAnsi="宋体" w:eastAsia="方正黑体简体" w:cs="宋体"/>
                <w:sz w:val="24"/>
              </w:rPr>
            </w:pPr>
            <w:r>
              <w:rPr>
                <w:rFonts w:hint="eastAsia" w:ascii="方正黑体简体" w:hAnsi="宋体" w:eastAsia="方正黑体简体" w:cs="宋体"/>
                <w:sz w:val="24"/>
              </w:rPr>
              <w:t>联系人及电话</w:t>
            </w:r>
          </w:p>
        </w:tc>
      </w:tr>
      <w:tr w14:paraId="31BE84F9">
        <w:tblPrEx>
          <w:tblCellMar>
            <w:top w:w="0" w:type="dxa"/>
            <w:left w:w="108" w:type="dxa"/>
            <w:bottom w:w="0" w:type="dxa"/>
            <w:right w:w="108" w:type="dxa"/>
          </w:tblCellMar>
        </w:tblPrEx>
        <w:trPr>
          <w:trHeight w:val="915" w:hRule="atLeast"/>
          <w:jc w:val="center"/>
        </w:trPr>
        <w:tc>
          <w:tcPr>
            <w:tcW w:w="555" w:type="dxa"/>
            <w:tcBorders>
              <w:top w:val="nil"/>
              <w:left w:val="single" w:color="auto" w:sz="4" w:space="0"/>
              <w:bottom w:val="nil"/>
              <w:right w:val="single" w:color="auto" w:sz="4" w:space="0"/>
            </w:tcBorders>
            <w:vAlign w:val="center"/>
          </w:tcPr>
          <w:p w14:paraId="3BC2FCEE">
            <w:pPr>
              <w:jc w:val="center"/>
              <w:rPr>
                <w:rFonts w:eastAsia="方正仿宋简体"/>
                <w:sz w:val="24"/>
              </w:rPr>
            </w:pPr>
            <w:r>
              <w:rPr>
                <w:rFonts w:eastAsia="方正仿宋简体"/>
                <w:sz w:val="24"/>
              </w:rPr>
              <w:t>1</w:t>
            </w:r>
          </w:p>
        </w:tc>
        <w:tc>
          <w:tcPr>
            <w:tcW w:w="1800" w:type="dxa"/>
            <w:tcBorders>
              <w:top w:val="nil"/>
              <w:left w:val="nil"/>
              <w:bottom w:val="single" w:color="auto" w:sz="4" w:space="0"/>
              <w:right w:val="single" w:color="auto" w:sz="4" w:space="0"/>
            </w:tcBorders>
            <w:vAlign w:val="center"/>
          </w:tcPr>
          <w:p w14:paraId="2054AB49">
            <w:pPr>
              <w:jc w:val="center"/>
              <w:rPr>
                <w:rFonts w:eastAsia="方正仿宋简体"/>
                <w:sz w:val="24"/>
              </w:rPr>
            </w:pPr>
            <w:r>
              <w:rPr>
                <w:rFonts w:eastAsia="方正仿宋简体"/>
                <w:sz w:val="24"/>
              </w:rPr>
              <w:t>10g/L二氧化氯</w:t>
            </w:r>
          </w:p>
        </w:tc>
        <w:tc>
          <w:tcPr>
            <w:tcW w:w="1080" w:type="dxa"/>
            <w:tcBorders>
              <w:top w:val="nil"/>
              <w:left w:val="nil"/>
              <w:bottom w:val="nil"/>
              <w:right w:val="single" w:color="auto" w:sz="4" w:space="0"/>
            </w:tcBorders>
            <w:vAlign w:val="center"/>
          </w:tcPr>
          <w:p w14:paraId="2526EBC7">
            <w:pPr>
              <w:jc w:val="center"/>
              <w:rPr>
                <w:rFonts w:eastAsia="方正仿宋简体"/>
                <w:sz w:val="24"/>
              </w:rPr>
            </w:pPr>
            <w:r>
              <w:rPr>
                <w:rFonts w:eastAsia="方正仿宋简体"/>
                <w:sz w:val="24"/>
              </w:rPr>
              <w:t>100吨</w:t>
            </w:r>
          </w:p>
        </w:tc>
        <w:tc>
          <w:tcPr>
            <w:tcW w:w="3240" w:type="dxa"/>
            <w:tcBorders>
              <w:top w:val="nil"/>
              <w:left w:val="nil"/>
              <w:bottom w:val="single" w:color="auto" w:sz="4" w:space="0"/>
              <w:right w:val="single" w:color="auto" w:sz="4" w:space="0"/>
            </w:tcBorders>
            <w:vAlign w:val="center"/>
          </w:tcPr>
          <w:p w14:paraId="1AFBDAB3">
            <w:pPr>
              <w:jc w:val="center"/>
              <w:rPr>
                <w:rFonts w:eastAsia="方正仿宋简体"/>
                <w:sz w:val="24"/>
              </w:rPr>
            </w:pPr>
            <w:r>
              <w:rPr>
                <w:rFonts w:eastAsia="方正仿宋简体"/>
                <w:sz w:val="24"/>
              </w:rPr>
              <w:t>福建青山纸业股份有限公司</w:t>
            </w:r>
          </w:p>
        </w:tc>
        <w:tc>
          <w:tcPr>
            <w:tcW w:w="1800" w:type="dxa"/>
            <w:tcBorders>
              <w:top w:val="nil"/>
              <w:left w:val="nil"/>
              <w:bottom w:val="single" w:color="auto" w:sz="4" w:space="0"/>
              <w:right w:val="single" w:color="auto" w:sz="4" w:space="0"/>
            </w:tcBorders>
            <w:vAlign w:val="center"/>
          </w:tcPr>
          <w:p w14:paraId="051332E5">
            <w:pPr>
              <w:jc w:val="center"/>
              <w:rPr>
                <w:rFonts w:eastAsia="方正仿宋简体"/>
                <w:sz w:val="24"/>
              </w:rPr>
            </w:pPr>
            <w:r>
              <w:rPr>
                <w:rFonts w:eastAsia="方正仿宋简体"/>
                <w:sz w:val="24"/>
              </w:rPr>
              <w:t>黄丽珠</w:t>
            </w:r>
          </w:p>
          <w:p w14:paraId="68FD792B">
            <w:pPr>
              <w:jc w:val="center"/>
              <w:rPr>
                <w:rFonts w:eastAsia="方正仿宋简体"/>
                <w:sz w:val="24"/>
              </w:rPr>
            </w:pPr>
            <w:r>
              <w:rPr>
                <w:rFonts w:eastAsia="方正仿宋简体"/>
                <w:sz w:val="24"/>
              </w:rPr>
              <w:t>135</w:t>
            </w:r>
            <w:r>
              <w:rPr>
                <w:rFonts w:hint="eastAsia" w:eastAsia="方正仿宋简体"/>
                <w:sz w:val="24"/>
                <w:lang w:val="en-US" w:eastAsia="zh-CN"/>
              </w:rPr>
              <w:t>****</w:t>
            </w:r>
            <w:r>
              <w:rPr>
                <w:rFonts w:eastAsia="方正仿宋简体"/>
                <w:sz w:val="24"/>
              </w:rPr>
              <w:t>8353</w:t>
            </w:r>
          </w:p>
        </w:tc>
      </w:tr>
      <w:tr w14:paraId="24098039">
        <w:tblPrEx>
          <w:tblCellMar>
            <w:top w:w="0" w:type="dxa"/>
            <w:left w:w="108" w:type="dxa"/>
            <w:bottom w:w="0" w:type="dxa"/>
            <w:right w:w="108" w:type="dxa"/>
          </w:tblCellMar>
        </w:tblPrEx>
        <w:trPr>
          <w:trHeight w:val="1013" w:hRule="atLeast"/>
          <w:jc w:val="center"/>
        </w:trPr>
        <w:tc>
          <w:tcPr>
            <w:tcW w:w="555" w:type="dxa"/>
            <w:tcBorders>
              <w:top w:val="single" w:color="auto" w:sz="4" w:space="0"/>
              <w:left w:val="single" w:color="auto" w:sz="4" w:space="0"/>
              <w:bottom w:val="nil"/>
              <w:right w:val="single" w:color="auto" w:sz="4" w:space="0"/>
            </w:tcBorders>
            <w:vAlign w:val="center"/>
          </w:tcPr>
          <w:p w14:paraId="3F93F44F">
            <w:pPr>
              <w:jc w:val="center"/>
              <w:rPr>
                <w:rFonts w:eastAsia="方正仿宋简体"/>
                <w:sz w:val="24"/>
              </w:rPr>
            </w:pPr>
            <w:r>
              <w:rPr>
                <w:rFonts w:eastAsia="方正仿宋简体"/>
                <w:sz w:val="24"/>
              </w:rPr>
              <w:t>2</w:t>
            </w:r>
          </w:p>
        </w:tc>
        <w:tc>
          <w:tcPr>
            <w:tcW w:w="1800" w:type="dxa"/>
            <w:tcBorders>
              <w:top w:val="nil"/>
              <w:left w:val="nil"/>
              <w:bottom w:val="single" w:color="auto" w:sz="4" w:space="0"/>
              <w:right w:val="single" w:color="auto" w:sz="4" w:space="0"/>
            </w:tcBorders>
            <w:vAlign w:val="center"/>
          </w:tcPr>
          <w:p w14:paraId="4C1B1CA0">
            <w:pPr>
              <w:jc w:val="center"/>
              <w:rPr>
                <w:rFonts w:eastAsia="方正仿宋简体"/>
                <w:sz w:val="24"/>
              </w:rPr>
            </w:pPr>
            <w:r>
              <w:rPr>
                <w:rFonts w:eastAsia="方正仿宋简体"/>
                <w:sz w:val="24"/>
              </w:rPr>
              <w:t>硫酸</w:t>
            </w:r>
          </w:p>
        </w:tc>
        <w:tc>
          <w:tcPr>
            <w:tcW w:w="1080" w:type="dxa"/>
            <w:tcBorders>
              <w:top w:val="single" w:color="auto" w:sz="4" w:space="0"/>
              <w:left w:val="nil"/>
              <w:bottom w:val="nil"/>
              <w:right w:val="single" w:color="auto" w:sz="4" w:space="0"/>
            </w:tcBorders>
            <w:vAlign w:val="center"/>
          </w:tcPr>
          <w:p w14:paraId="5719491D">
            <w:pPr>
              <w:jc w:val="center"/>
              <w:rPr>
                <w:rFonts w:eastAsia="方正仿宋简体"/>
                <w:sz w:val="24"/>
              </w:rPr>
            </w:pPr>
            <w:r>
              <w:rPr>
                <w:rFonts w:eastAsia="方正仿宋简体"/>
                <w:sz w:val="24"/>
              </w:rPr>
              <w:t>200吨</w:t>
            </w:r>
          </w:p>
        </w:tc>
        <w:tc>
          <w:tcPr>
            <w:tcW w:w="3240" w:type="dxa"/>
            <w:tcBorders>
              <w:top w:val="nil"/>
              <w:left w:val="nil"/>
              <w:bottom w:val="single" w:color="auto" w:sz="4" w:space="0"/>
              <w:right w:val="single" w:color="auto" w:sz="4" w:space="0"/>
            </w:tcBorders>
            <w:vAlign w:val="center"/>
          </w:tcPr>
          <w:p w14:paraId="08246D1F">
            <w:pPr>
              <w:jc w:val="center"/>
              <w:rPr>
                <w:rFonts w:hint="eastAsia" w:eastAsia="方正仿宋简体"/>
                <w:sz w:val="24"/>
              </w:rPr>
            </w:pPr>
            <w:r>
              <w:rPr>
                <w:rFonts w:eastAsia="方正仿宋简体"/>
                <w:sz w:val="24"/>
              </w:rPr>
              <w:t>沙县金沙白炭黑制造有限</w:t>
            </w:r>
          </w:p>
          <w:p w14:paraId="173AECDC">
            <w:pPr>
              <w:jc w:val="center"/>
              <w:rPr>
                <w:rFonts w:eastAsia="方正仿宋简体"/>
                <w:sz w:val="24"/>
              </w:rPr>
            </w:pPr>
            <w:r>
              <w:rPr>
                <w:rFonts w:eastAsia="方正仿宋简体"/>
                <w:sz w:val="24"/>
              </w:rPr>
              <w:t>公司</w:t>
            </w:r>
          </w:p>
        </w:tc>
        <w:tc>
          <w:tcPr>
            <w:tcW w:w="1800" w:type="dxa"/>
            <w:tcBorders>
              <w:top w:val="nil"/>
              <w:left w:val="nil"/>
              <w:bottom w:val="single" w:color="auto" w:sz="4" w:space="0"/>
              <w:right w:val="single" w:color="auto" w:sz="4" w:space="0"/>
            </w:tcBorders>
            <w:vAlign w:val="center"/>
          </w:tcPr>
          <w:p w14:paraId="24ED9BE5">
            <w:pPr>
              <w:jc w:val="center"/>
              <w:rPr>
                <w:rFonts w:eastAsia="方正仿宋简体"/>
                <w:sz w:val="24"/>
              </w:rPr>
            </w:pPr>
            <w:r>
              <w:rPr>
                <w:rFonts w:eastAsia="方正仿宋简体"/>
                <w:sz w:val="24"/>
              </w:rPr>
              <w:t>魏宝明</w:t>
            </w:r>
          </w:p>
          <w:p w14:paraId="4DE58592">
            <w:pPr>
              <w:jc w:val="center"/>
              <w:rPr>
                <w:rFonts w:eastAsia="方正仿宋简体"/>
                <w:sz w:val="24"/>
              </w:rPr>
            </w:pPr>
            <w:r>
              <w:rPr>
                <w:rFonts w:eastAsia="方正仿宋简体"/>
                <w:sz w:val="24"/>
              </w:rPr>
              <w:t>139</w:t>
            </w:r>
            <w:r>
              <w:rPr>
                <w:rFonts w:hint="eastAsia" w:eastAsia="方正仿宋简体"/>
                <w:sz w:val="24"/>
                <w:lang w:val="en-US" w:eastAsia="zh-CN"/>
              </w:rPr>
              <w:t>****</w:t>
            </w:r>
            <w:r>
              <w:rPr>
                <w:rFonts w:eastAsia="方正仿宋简体"/>
                <w:sz w:val="24"/>
              </w:rPr>
              <w:t>5988</w:t>
            </w:r>
          </w:p>
        </w:tc>
      </w:tr>
      <w:tr w14:paraId="4D503FF3">
        <w:tblPrEx>
          <w:tblCellMar>
            <w:top w:w="0" w:type="dxa"/>
            <w:left w:w="108" w:type="dxa"/>
            <w:bottom w:w="0" w:type="dxa"/>
            <w:right w:w="108" w:type="dxa"/>
          </w:tblCellMar>
        </w:tblPrEx>
        <w:trPr>
          <w:trHeight w:val="915" w:hRule="atLeast"/>
          <w:jc w:val="center"/>
        </w:trPr>
        <w:tc>
          <w:tcPr>
            <w:tcW w:w="555" w:type="dxa"/>
            <w:tcBorders>
              <w:top w:val="single" w:color="auto" w:sz="4" w:space="0"/>
              <w:left w:val="single" w:color="auto" w:sz="4" w:space="0"/>
              <w:bottom w:val="single" w:color="000000" w:sz="4" w:space="0"/>
              <w:right w:val="single" w:color="auto" w:sz="4" w:space="0"/>
            </w:tcBorders>
            <w:noWrap/>
            <w:vAlign w:val="center"/>
          </w:tcPr>
          <w:p w14:paraId="23773459">
            <w:pPr>
              <w:jc w:val="center"/>
              <w:rPr>
                <w:rFonts w:eastAsia="方正仿宋简体"/>
                <w:sz w:val="24"/>
              </w:rPr>
            </w:pPr>
            <w:r>
              <w:rPr>
                <w:rFonts w:eastAsia="方正仿宋简体"/>
                <w:sz w:val="24"/>
              </w:rPr>
              <w:t>3</w:t>
            </w:r>
          </w:p>
        </w:tc>
        <w:tc>
          <w:tcPr>
            <w:tcW w:w="1800" w:type="dxa"/>
            <w:tcBorders>
              <w:top w:val="nil"/>
              <w:left w:val="single" w:color="auto" w:sz="4" w:space="0"/>
              <w:bottom w:val="single" w:color="auto" w:sz="4" w:space="0"/>
              <w:right w:val="single" w:color="auto" w:sz="4" w:space="0"/>
            </w:tcBorders>
            <w:noWrap/>
            <w:vAlign w:val="center"/>
          </w:tcPr>
          <w:p w14:paraId="1B2C7C9E">
            <w:pPr>
              <w:jc w:val="center"/>
              <w:rPr>
                <w:rFonts w:eastAsia="方正仿宋简体"/>
                <w:sz w:val="24"/>
              </w:rPr>
            </w:pPr>
            <w:r>
              <w:rPr>
                <w:rFonts w:eastAsia="方正仿宋简体"/>
                <w:sz w:val="24"/>
              </w:rPr>
              <w:t>30%烧碱</w:t>
            </w:r>
          </w:p>
        </w:tc>
        <w:tc>
          <w:tcPr>
            <w:tcW w:w="1080" w:type="dxa"/>
            <w:tcBorders>
              <w:top w:val="single" w:color="auto" w:sz="4" w:space="0"/>
              <w:left w:val="single" w:color="auto" w:sz="4" w:space="0"/>
              <w:bottom w:val="single" w:color="000000" w:sz="4" w:space="0"/>
              <w:right w:val="single" w:color="auto" w:sz="4" w:space="0"/>
            </w:tcBorders>
            <w:noWrap/>
            <w:vAlign w:val="center"/>
          </w:tcPr>
          <w:p w14:paraId="5EDA3064">
            <w:pPr>
              <w:jc w:val="center"/>
              <w:rPr>
                <w:rFonts w:eastAsia="方正仿宋简体"/>
                <w:sz w:val="24"/>
              </w:rPr>
            </w:pPr>
            <w:r>
              <w:rPr>
                <w:rFonts w:eastAsia="方正仿宋简体"/>
                <w:sz w:val="24"/>
              </w:rPr>
              <w:t>20吨</w:t>
            </w:r>
          </w:p>
        </w:tc>
        <w:tc>
          <w:tcPr>
            <w:tcW w:w="3240" w:type="dxa"/>
            <w:tcBorders>
              <w:top w:val="single" w:color="auto" w:sz="4" w:space="0"/>
              <w:left w:val="nil"/>
              <w:bottom w:val="single" w:color="auto" w:sz="4" w:space="0"/>
              <w:right w:val="single" w:color="auto" w:sz="4" w:space="0"/>
            </w:tcBorders>
            <w:noWrap/>
            <w:vAlign w:val="center"/>
          </w:tcPr>
          <w:p w14:paraId="61D005DD">
            <w:pPr>
              <w:jc w:val="center"/>
              <w:rPr>
                <w:rFonts w:hint="eastAsia" w:eastAsia="方正仿宋简体"/>
                <w:sz w:val="24"/>
              </w:rPr>
            </w:pPr>
            <w:r>
              <w:rPr>
                <w:rFonts w:eastAsia="方正仿宋简体"/>
                <w:sz w:val="24"/>
              </w:rPr>
              <w:t>沙县金沙白炭黑制造有限</w:t>
            </w:r>
          </w:p>
          <w:p w14:paraId="1F2B91C3">
            <w:pPr>
              <w:jc w:val="center"/>
              <w:rPr>
                <w:rFonts w:eastAsia="方正仿宋简体"/>
                <w:sz w:val="24"/>
              </w:rPr>
            </w:pPr>
            <w:r>
              <w:rPr>
                <w:rFonts w:eastAsia="方正仿宋简体"/>
                <w:sz w:val="24"/>
              </w:rPr>
              <w:t>公司</w:t>
            </w:r>
          </w:p>
        </w:tc>
        <w:tc>
          <w:tcPr>
            <w:tcW w:w="1800" w:type="dxa"/>
            <w:tcBorders>
              <w:top w:val="single" w:color="auto" w:sz="4" w:space="0"/>
              <w:left w:val="single" w:color="auto" w:sz="4" w:space="0"/>
              <w:bottom w:val="single" w:color="auto" w:sz="4" w:space="0"/>
              <w:right w:val="single" w:color="auto" w:sz="4" w:space="0"/>
            </w:tcBorders>
            <w:noWrap/>
            <w:vAlign w:val="center"/>
          </w:tcPr>
          <w:p w14:paraId="56D79530">
            <w:pPr>
              <w:jc w:val="center"/>
              <w:rPr>
                <w:rFonts w:eastAsia="方正仿宋简体"/>
                <w:sz w:val="24"/>
              </w:rPr>
            </w:pPr>
            <w:r>
              <w:rPr>
                <w:rFonts w:eastAsia="方正仿宋简体"/>
                <w:sz w:val="24"/>
              </w:rPr>
              <w:t>魏宝明</w:t>
            </w:r>
          </w:p>
          <w:p w14:paraId="79A41AB5">
            <w:pPr>
              <w:jc w:val="center"/>
              <w:rPr>
                <w:rFonts w:eastAsia="方正仿宋简体"/>
                <w:sz w:val="24"/>
              </w:rPr>
            </w:pPr>
            <w:r>
              <w:rPr>
                <w:rFonts w:eastAsia="方正仿宋简体"/>
                <w:sz w:val="24"/>
              </w:rPr>
              <w:t>139</w:t>
            </w:r>
            <w:r>
              <w:rPr>
                <w:rFonts w:hint="eastAsia" w:eastAsia="方正仿宋简体"/>
                <w:sz w:val="24"/>
                <w:lang w:val="en-US" w:eastAsia="zh-CN"/>
              </w:rPr>
              <w:t>****</w:t>
            </w:r>
            <w:r>
              <w:rPr>
                <w:rFonts w:eastAsia="方正仿宋简体"/>
                <w:sz w:val="24"/>
              </w:rPr>
              <w:t>5988</w:t>
            </w:r>
          </w:p>
        </w:tc>
      </w:tr>
      <w:tr w14:paraId="1B6DE46F">
        <w:tblPrEx>
          <w:tblCellMar>
            <w:top w:w="0" w:type="dxa"/>
            <w:left w:w="108" w:type="dxa"/>
            <w:bottom w:w="0" w:type="dxa"/>
            <w:right w:w="108" w:type="dxa"/>
          </w:tblCellMar>
        </w:tblPrEx>
        <w:trPr>
          <w:trHeight w:val="915" w:hRule="atLeast"/>
          <w:jc w:val="center"/>
        </w:trPr>
        <w:tc>
          <w:tcPr>
            <w:tcW w:w="555" w:type="dxa"/>
            <w:tcBorders>
              <w:top w:val="nil"/>
              <w:left w:val="single" w:color="auto" w:sz="4" w:space="0"/>
              <w:bottom w:val="nil"/>
              <w:right w:val="single" w:color="auto" w:sz="4" w:space="0"/>
            </w:tcBorders>
            <w:vAlign w:val="center"/>
          </w:tcPr>
          <w:p w14:paraId="656286BA">
            <w:pPr>
              <w:jc w:val="center"/>
              <w:rPr>
                <w:rFonts w:eastAsia="方正仿宋简体"/>
                <w:sz w:val="24"/>
              </w:rPr>
            </w:pPr>
            <w:r>
              <w:rPr>
                <w:rFonts w:eastAsia="方正仿宋简体"/>
                <w:sz w:val="24"/>
              </w:rPr>
              <w:t>4</w:t>
            </w:r>
          </w:p>
        </w:tc>
        <w:tc>
          <w:tcPr>
            <w:tcW w:w="1800" w:type="dxa"/>
            <w:tcBorders>
              <w:top w:val="nil"/>
              <w:left w:val="single" w:color="auto" w:sz="4" w:space="0"/>
              <w:bottom w:val="single" w:color="auto" w:sz="4" w:space="0"/>
              <w:right w:val="single" w:color="auto" w:sz="4" w:space="0"/>
            </w:tcBorders>
            <w:vAlign w:val="center"/>
          </w:tcPr>
          <w:p w14:paraId="04DBF452">
            <w:pPr>
              <w:jc w:val="center"/>
              <w:rPr>
                <w:rFonts w:eastAsia="方正仿宋简体"/>
                <w:sz w:val="24"/>
              </w:rPr>
            </w:pPr>
            <w:r>
              <w:rPr>
                <w:rFonts w:eastAsia="方正仿宋简体"/>
                <w:sz w:val="24"/>
              </w:rPr>
              <w:t>活性炭</w:t>
            </w:r>
          </w:p>
        </w:tc>
        <w:tc>
          <w:tcPr>
            <w:tcW w:w="1080" w:type="dxa"/>
            <w:tcBorders>
              <w:top w:val="nil"/>
              <w:left w:val="single" w:color="auto" w:sz="4" w:space="0"/>
              <w:bottom w:val="nil"/>
              <w:right w:val="single" w:color="auto" w:sz="4" w:space="0"/>
            </w:tcBorders>
            <w:vAlign w:val="center"/>
          </w:tcPr>
          <w:p w14:paraId="70EE305B">
            <w:pPr>
              <w:jc w:val="center"/>
              <w:rPr>
                <w:rFonts w:eastAsia="方正仿宋简体"/>
                <w:sz w:val="24"/>
              </w:rPr>
            </w:pPr>
            <w:r>
              <w:rPr>
                <w:rFonts w:eastAsia="方正仿宋简体"/>
                <w:sz w:val="24"/>
              </w:rPr>
              <w:t>50吨</w:t>
            </w:r>
          </w:p>
        </w:tc>
        <w:tc>
          <w:tcPr>
            <w:tcW w:w="3240" w:type="dxa"/>
            <w:tcBorders>
              <w:top w:val="nil"/>
              <w:left w:val="nil"/>
              <w:bottom w:val="single" w:color="auto" w:sz="4" w:space="0"/>
              <w:right w:val="single" w:color="auto" w:sz="4" w:space="0"/>
            </w:tcBorders>
            <w:noWrap/>
            <w:vAlign w:val="center"/>
          </w:tcPr>
          <w:p w14:paraId="77AB0DF1">
            <w:pPr>
              <w:jc w:val="center"/>
              <w:rPr>
                <w:rFonts w:eastAsia="方正仿宋简体"/>
                <w:sz w:val="24"/>
              </w:rPr>
            </w:pPr>
            <w:r>
              <w:rPr>
                <w:rFonts w:eastAsia="方正仿宋简体"/>
                <w:sz w:val="24"/>
              </w:rPr>
              <w:t>青杉化工碳素有限公司</w:t>
            </w:r>
          </w:p>
        </w:tc>
        <w:tc>
          <w:tcPr>
            <w:tcW w:w="1800" w:type="dxa"/>
            <w:tcBorders>
              <w:top w:val="nil"/>
              <w:left w:val="nil"/>
              <w:bottom w:val="single" w:color="auto" w:sz="4" w:space="0"/>
              <w:right w:val="single" w:color="auto" w:sz="4" w:space="0"/>
            </w:tcBorders>
            <w:noWrap/>
            <w:vAlign w:val="center"/>
          </w:tcPr>
          <w:p w14:paraId="7341C9F1">
            <w:pPr>
              <w:jc w:val="center"/>
              <w:rPr>
                <w:rFonts w:eastAsia="方正仿宋简体"/>
                <w:sz w:val="24"/>
              </w:rPr>
            </w:pPr>
            <w:r>
              <w:rPr>
                <w:rFonts w:eastAsia="方正仿宋简体"/>
                <w:sz w:val="24"/>
              </w:rPr>
              <w:t>张信华</w:t>
            </w:r>
          </w:p>
          <w:p w14:paraId="0EE88D5B">
            <w:pPr>
              <w:jc w:val="center"/>
              <w:rPr>
                <w:rFonts w:eastAsia="方正仿宋简体"/>
                <w:sz w:val="24"/>
              </w:rPr>
            </w:pPr>
            <w:r>
              <w:rPr>
                <w:rFonts w:eastAsia="方正仿宋简体"/>
                <w:sz w:val="24"/>
              </w:rPr>
              <w:t>138</w:t>
            </w:r>
            <w:r>
              <w:rPr>
                <w:rFonts w:hint="eastAsia" w:eastAsia="方正仿宋简体"/>
                <w:sz w:val="24"/>
                <w:lang w:val="en-US" w:eastAsia="zh-CN"/>
              </w:rPr>
              <w:t>****</w:t>
            </w:r>
            <w:r>
              <w:rPr>
                <w:rFonts w:eastAsia="方正仿宋简体"/>
                <w:sz w:val="24"/>
              </w:rPr>
              <w:t>2197</w:t>
            </w:r>
          </w:p>
        </w:tc>
      </w:tr>
      <w:tr w14:paraId="25C30824">
        <w:tblPrEx>
          <w:tblCellMar>
            <w:top w:w="0" w:type="dxa"/>
            <w:left w:w="108" w:type="dxa"/>
            <w:bottom w:w="0" w:type="dxa"/>
            <w:right w:w="108" w:type="dxa"/>
          </w:tblCellMar>
        </w:tblPrEx>
        <w:trPr>
          <w:trHeight w:val="915" w:hRule="atLeast"/>
          <w:jc w:val="center"/>
        </w:trPr>
        <w:tc>
          <w:tcPr>
            <w:tcW w:w="555" w:type="dxa"/>
            <w:tcBorders>
              <w:top w:val="single" w:color="auto" w:sz="4" w:space="0"/>
              <w:left w:val="single" w:color="auto" w:sz="4" w:space="0"/>
              <w:bottom w:val="single" w:color="000000" w:sz="4" w:space="0"/>
              <w:right w:val="single" w:color="auto" w:sz="4" w:space="0"/>
            </w:tcBorders>
            <w:noWrap/>
            <w:vAlign w:val="center"/>
          </w:tcPr>
          <w:p w14:paraId="3E447595">
            <w:pPr>
              <w:jc w:val="center"/>
              <w:rPr>
                <w:rFonts w:eastAsia="方正仿宋简体"/>
                <w:sz w:val="24"/>
              </w:rPr>
            </w:pPr>
            <w:r>
              <w:rPr>
                <w:rFonts w:eastAsia="方正仿宋简体"/>
                <w:sz w:val="24"/>
              </w:rPr>
              <w:t>5</w:t>
            </w:r>
          </w:p>
        </w:tc>
        <w:tc>
          <w:tcPr>
            <w:tcW w:w="1800" w:type="dxa"/>
            <w:tcBorders>
              <w:top w:val="nil"/>
              <w:left w:val="single" w:color="auto" w:sz="4" w:space="0"/>
              <w:bottom w:val="single" w:color="auto" w:sz="4" w:space="0"/>
              <w:right w:val="single" w:color="auto" w:sz="4" w:space="0"/>
            </w:tcBorders>
            <w:noWrap/>
            <w:vAlign w:val="center"/>
          </w:tcPr>
          <w:p w14:paraId="54C6403B">
            <w:pPr>
              <w:jc w:val="center"/>
              <w:rPr>
                <w:rFonts w:eastAsia="方正仿宋简体"/>
                <w:sz w:val="24"/>
              </w:rPr>
            </w:pPr>
            <w:r>
              <w:rPr>
                <w:rFonts w:eastAsia="方正仿宋简体"/>
                <w:sz w:val="24"/>
              </w:rPr>
              <w:t>石灰</w:t>
            </w:r>
          </w:p>
        </w:tc>
        <w:tc>
          <w:tcPr>
            <w:tcW w:w="1080" w:type="dxa"/>
            <w:tcBorders>
              <w:top w:val="single" w:color="auto" w:sz="4" w:space="0"/>
              <w:left w:val="single" w:color="auto" w:sz="4" w:space="0"/>
              <w:bottom w:val="single" w:color="000000" w:sz="4" w:space="0"/>
              <w:right w:val="single" w:color="auto" w:sz="4" w:space="0"/>
            </w:tcBorders>
            <w:noWrap/>
            <w:vAlign w:val="center"/>
          </w:tcPr>
          <w:p w14:paraId="12E33013">
            <w:pPr>
              <w:jc w:val="center"/>
              <w:rPr>
                <w:rFonts w:eastAsia="方正仿宋简体"/>
                <w:sz w:val="24"/>
              </w:rPr>
            </w:pPr>
            <w:r>
              <w:rPr>
                <w:rFonts w:eastAsia="方正仿宋简体"/>
                <w:sz w:val="24"/>
              </w:rPr>
              <w:t>30吨</w:t>
            </w:r>
          </w:p>
        </w:tc>
        <w:tc>
          <w:tcPr>
            <w:tcW w:w="3240" w:type="dxa"/>
            <w:tcBorders>
              <w:top w:val="single" w:color="auto" w:sz="4" w:space="0"/>
              <w:left w:val="nil"/>
              <w:bottom w:val="single" w:color="auto" w:sz="4" w:space="0"/>
              <w:right w:val="single" w:color="auto" w:sz="4" w:space="0"/>
            </w:tcBorders>
            <w:noWrap/>
            <w:vAlign w:val="center"/>
          </w:tcPr>
          <w:p w14:paraId="7D281520">
            <w:pPr>
              <w:jc w:val="center"/>
              <w:rPr>
                <w:rFonts w:eastAsia="方正仿宋简体"/>
                <w:color w:val="000000"/>
                <w:sz w:val="24"/>
              </w:rPr>
            </w:pPr>
            <w:r>
              <w:rPr>
                <w:rFonts w:eastAsia="方正仿宋简体"/>
                <w:sz w:val="24"/>
              </w:rPr>
              <w:t>福建青山纸业股份有限公司</w:t>
            </w:r>
          </w:p>
        </w:tc>
        <w:tc>
          <w:tcPr>
            <w:tcW w:w="1800" w:type="dxa"/>
            <w:tcBorders>
              <w:top w:val="single" w:color="auto" w:sz="4" w:space="0"/>
              <w:left w:val="nil"/>
              <w:bottom w:val="single" w:color="auto" w:sz="4" w:space="0"/>
              <w:right w:val="single" w:color="auto" w:sz="4" w:space="0"/>
            </w:tcBorders>
            <w:noWrap/>
            <w:vAlign w:val="center"/>
          </w:tcPr>
          <w:p w14:paraId="43D20FB6">
            <w:pPr>
              <w:jc w:val="center"/>
              <w:rPr>
                <w:rFonts w:eastAsia="方正仿宋简体"/>
                <w:sz w:val="24"/>
              </w:rPr>
            </w:pPr>
            <w:r>
              <w:rPr>
                <w:rFonts w:eastAsia="方正仿宋简体"/>
                <w:sz w:val="24"/>
              </w:rPr>
              <w:t>黄丽珠</w:t>
            </w:r>
          </w:p>
          <w:p w14:paraId="1BE7C3AE">
            <w:pPr>
              <w:jc w:val="center"/>
              <w:rPr>
                <w:rFonts w:eastAsia="方正仿宋简体"/>
                <w:color w:val="000000"/>
                <w:sz w:val="24"/>
              </w:rPr>
            </w:pPr>
            <w:r>
              <w:rPr>
                <w:rFonts w:eastAsia="方正仿宋简体"/>
                <w:sz w:val="24"/>
              </w:rPr>
              <w:t>135</w:t>
            </w:r>
            <w:r>
              <w:rPr>
                <w:rFonts w:hint="eastAsia" w:eastAsia="方正仿宋简体"/>
                <w:sz w:val="24"/>
                <w:lang w:val="en-US" w:eastAsia="zh-CN"/>
              </w:rPr>
              <w:t>****</w:t>
            </w:r>
            <w:r>
              <w:rPr>
                <w:rFonts w:eastAsia="方正仿宋简体"/>
                <w:sz w:val="24"/>
              </w:rPr>
              <w:t>8353</w:t>
            </w:r>
          </w:p>
        </w:tc>
      </w:tr>
      <w:tr w14:paraId="6104EA07">
        <w:tblPrEx>
          <w:tblCellMar>
            <w:top w:w="0" w:type="dxa"/>
            <w:left w:w="108" w:type="dxa"/>
            <w:bottom w:w="0" w:type="dxa"/>
            <w:right w:w="108" w:type="dxa"/>
          </w:tblCellMar>
        </w:tblPrEx>
        <w:trPr>
          <w:trHeight w:val="735" w:hRule="atLeast"/>
          <w:jc w:val="center"/>
        </w:trPr>
        <w:tc>
          <w:tcPr>
            <w:tcW w:w="555" w:type="dxa"/>
            <w:tcBorders>
              <w:top w:val="nil"/>
              <w:left w:val="single" w:color="auto" w:sz="4" w:space="0"/>
              <w:bottom w:val="single" w:color="auto" w:sz="4" w:space="0"/>
              <w:right w:val="single" w:color="auto" w:sz="4" w:space="0"/>
            </w:tcBorders>
            <w:noWrap/>
            <w:vAlign w:val="center"/>
          </w:tcPr>
          <w:p w14:paraId="5BF2FD9B">
            <w:pPr>
              <w:jc w:val="center"/>
              <w:rPr>
                <w:rFonts w:eastAsia="方正仿宋简体"/>
                <w:sz w:val="24"/>
              </w:rPr>
            </w:pPr>
            <w:r>
              <w:rPr>
                <w:rFonts w:eastAsia="方正仿宋简体"/>
                <w:sz w:val="24"/>
              </w:rPr>
              <w:t>6</w:t>
            </w:r>
          </w:p>
        </w:tc>
        <w:tc>
          <w:tcPr>
            <w:tcW w:w="1800" w:type="dxa"/>
            <w:tcBorders>
              <w:top w:val="nil"/>
              <w:left w:val="nil"/>
              <w:bottom w:val="single" w:color="auto" w:sz="4" w:space="0"/>
              <w:right w:val="single" w:color="auto" w:sz="4" w:space="0"/>
            </w:tcBorders>
            <w:noWrap/>
            <w:vAlign w:val="center"/>
          </w:tcPr>
          <w:p w14:paraId="3074929B">
            <w:pPr>
              <w:jc w:val="center"/>
              <w:rPr>
                <w:rFonts w:eastAsia="方正仿宋简体"/>
                <w:sz w:val="24"/>
              </w:rPr>
            </w:pPr>
            <w:r>
              <w:rPr>
                <w:rFonts w:eastAsia="方正仿宋简体"/>
                <w:sz w:val="24"/>
              </w:rPr>
              <w:t>麻袋</w:t>
            </w:r>
          </w:p>
        </w:tc>
        <w:tc>
          <w:tcPr>
            <w:tcW w:w="1080" w:type="dxa"/>
            <w:tcBorders>
              <w:top w:val="nil"/>
              <w:left w:val="nil"/>
              <w:bottom w:val="single" w:color="auto" w:sz="4" w:space="0"/>
              <w:right w:val="single" w:color="auto" w:sz="4" w:space="0"/>
            </w:tcBorders>
            <w:noWrap/>
            <w:vAlign w:val="center"/>
          </w:tcPr>
          <w:p w14:paraId="0FE2AF3F">
            <w:pPr>
              <w:jc w:val="center"/>
              <w:rPr>
                <w:rFonts w:eastAsia="方正仿宋简体"/>
                <w:sz w:val="24"/>
              </w:rPr>
            </w:pPr>
            <w:r>
              <w:rPr>
                <w:rFonts w:eastAsia="方正仿宋简体"/>
                <w:sz w:val="24"/>
              </w:rPr>
              <w:t>300个</w:t>
            </w:r>
          </w:p>
        </w:tc>
        <w:tc>
          <w:tcPr>
            <w:tcW w:w="3240" w:type="dxa"/>
            <w:vMerge w:val="restart"/>
            <w:tcBorders>
              <w:top w:val="single" w:color="auto" w:sz="4" w:space="0"/>
              <w:left w:val="nil"/>
              <w:right w:val="single" w:color="auto" w:sz="4" w:space="0"/>
            </w:tcBorders>
            <w:noWrap/>
            <w:vAlign w:val="center"/>
          </w:tcPr>
          <w:p w14:paraId="03237E37">
            <w:pPr>
              <w:jc w:val="center"/>
              <w:rPr>
                <w:rFonts w:eastAsia="方正仿宋简体"/>
                <w:sz w:val="24"/>
              </w:rPr>
            </w:pPr>
            <w:r>
              <w:rPr>
                <w:rFonts w:eastAsia="方正仿宋简体"/>
                <w:sz w:val="24"/>
              </w:rPr>
              <w:t>沙县自来水公司</w:t>
            </w:r>
          </w:p>
        </w:tc>
        <w:tc>
          <w:tcPr>
            <w:tcW w:w="1800" w:type="dxa"/>
            <w:vMerge w:val="restart"/>
            <w:tcBorders>
              <w:top w:val="single" w:color="auto" w:sz="4" w:space="0"/>
              <w:left w:val="nil"/>
              <w:right w:val="single" w:color="auto" w:sz="4" w:space="0"/>
            </w:tcBorders>
            <w:noWrap/>
            <w:vAlign w:val="center"/>
          </w:tcPr>
          <w:p w14:paraId="6EB13D24">
            <w:pPr>
              <w:jc w:val="center"/>
              <w:rPr>
                <w:rFonts w:hint="eastAsia" w:eastAsia="方正仿宋简体"/>
                <w:sz w:val="24"/>
              </w:rPr>
            </w:pPr>
            <w:r>
              <w:rPr>
                <w:rFonts w:hint="eastAsia" w:eastAsia="方正仿宋简体"/>
                <w:sz w:val="24"/>
              </w:rPr>
              <w:t>张海樟</w:t>
            </w:r>
          </w:p>
          <w:p w14:paraId="67E276F4">
            <w:pPr>
              <w:jc w:val="center"/>
              <w:rPr>
                <w:rFonts w:hint="eastAsia" w:eastAsia="方正仿宋简体"/>
                <w:sz w:val="24"/>
              </w:rPr>
            </w:pPr>
            <w:r>
              <w:rPr>
                <w:rFonts w:hint="eastAsia" w:eastAsia="方正仿宋简体"/>
                <w:sz w:val="24"/>
              </w:rPr>
              <w:t>180</w:t>
            </w:r>
            <w:r>
              <w:rPr>
                <w:rFonts w:hint="eastAsia" w:eastAsia="方正仿宋简体"/>
                <w:sz w:val="24"/>
                <w:lang w:val="en-US" w:eastAsia="zh-CN"/>
              </w:rPr>
              <w:t>****</w:t>
            </w:r>
            <w:r>
              <w:rPr>
                <w:rFonts w:hint="eastAsia" w:eastAsia="方正仿宋简体"/>
                <w:sz w:val="24"/>
              </w:rPr>
              <w:t>38337</w:t>
            </w:r>
          </w:p>
        </w:tc>
      </w:tr>
      <w:tr w14:paraId="29F06700">
        <w:tblPrEx>
          <w:tblCellMar>
            <w:top w:w="0" w:type="dxa"/>
            <w:left w:w="108" w:type="dxa"/>
            <w:bottom w:w="0" w:type="dxa"/>
            <w:right w:w="108" w:type="dxa"/>
          </w:tblCellMar>
        </w:tblPrEx>
        <w:trPr>
          <w:trHeight w:val="735" w:hRule="atLeast"/>
          <w:jc w:val="center"/>
        </w:trPr>
        <w:tc>
          <w:tcPr>
            <w:tcW w:w="555" w:type="dxa"/>
            <w:tcBorders>
              <w:top w:val="nil"/>
              <w:left w:val="single" w:color="auto" w:sz="4" w:space="0"/>
              <w:bottom w:val="single" w:color="auto" w:sz="4" w:space="0"/>
              <w:right w:val="single" w:color="auto" w:sz="4" w:space="0"/>
            </w:tcBorders>
            <w:noWrap/>
            <w:vAlign w:val="center"/>
          </w:tcPr>
          <w:p w14:paraId="1A7394F4">
            <w:pPr>
              <w:jc w:val="center"/>
              <w:rPr>
                <w:rFonts w:eastAsia="方正仿宋简体"/>
                <w:sz w:val="24"/>
              </w:rPr>
            </w:pPr>
            <w:r>
              <w:rPr>
                <w:rFonts w:eastAsia="方正仿宋简体"/>
                <w:sz w:val="24"/>
              </w:rPr>
              <w:t>7</w:t>
            </w:r>
          </w:p>
        </w:tc>
        <w:tc>
          <w:tcPr>
            <w:tcW w:w="1800" w:type="dxa"/>
            <w:tcBorders>
              <w:top w:val="nil"/>
              <w:left w:val="nil"/>
              <w:bottom w:val="single" w:color="auto" w:sz="4" w:space="0"/>
              <w:right w:val="single" w:color="auto" w:sz="4" w:space="0"/>
            </w:tcBorders>
            <w:noWrap/>
            <w:vAlign w:val="center"/>
          </w:tcPr>
          <w:p w14:paraId="5AA68D89">
            <w:pPr>
              <w:jc w:val="center"/>
              <w:rPr>
                <w:rFonts w:eastAsia="方正仿宋简体"/>
                <w:sz w:val="24"/>
              </w:rPr>
            </w:pPr>
            <w:r>
              <w:rPr>
                <w:rFonts w:eastAsia="方正仿宋简体"/>
                <w:sz w:val="24"/>
              </w:rPr>
              <w:t>编织袋</w:t>
            </w:r>
          </w:p>
        </w:tc>
        <w:tc>
          <w:tcPr>
            <w:tcW w:w="1080" w:type="dxa"/>
            <w:tcBorders>
              <w:top w:val="nil"/>
              <w:left w:val="nil"/>
              <w:bottom w:val="single" w:color="auto" w:sz="4" w:space="0"/>
              <w:right w:val="single" w:color="auto" w:sz="4" w:space="0"/>
            </w:tcBorders>
            <w:noWrap/>
            <w:vAlign w:val="center"/>
          </w:tcPr>
          <w:p w14:paraId="4CA50BB8">
            <w:pPr>
              <w:jc w:val="center"/>
              <w:rPr>
                <w:rFonts w:eastAsia="方正仿宋简体"/>
                <w:sz w:val="24"/>
              </w:rPr>
            </w:pPr>
            <w:r>
              <w:rPr>
                <w:rFonts w:eastAsia="方正仿宋简体"/>
                <w:sz w:val="24"/>
              </w:rPr>
              <w:t>500个</w:t>
            </w:r>
          </w:p>
        </w:tc>
        <w:tc>
          <w:tcPr>
            <w:tcW w:w="3240" w:type="dxa"/>
            <w:vMerge w:val="continue"/>
            <w:tcBorders>
              <w:left w:val="nil"/>
              <w:right w:val="single" w:color="auto" w:sz="4" w:space="0"/>
            </w:tcBorders>
            <w:noWrap/>
            <w:vAlign w:val="center"/>
          </w:tcPr>
          <w:p w14:paraId="50A24956">
            <w:pPr>
              <w:jc w:val="center"/>
              <w:rPr>
                <w:rFonts w:eastAsia="方正仿宋简体"/>
                <w:color w:val="000000"/>
                <w:sz w:val="24"/>
              </w:rPr>
            </w:pPr>
          </w:p>
        </w:tc>
        <w:tc>
          <w:tcPr>
            <w:tcW w:w="1800" w:type="dxa"/>
            <w:vMerge w:val="continue"/>
            <w:tcBorders>
              <w:left w:val="nil"/>
              <w:right w:val="single" w:color="auto" w:sz="4" w:space="0"/>
            </w:tcBorders>
            <w:noWrap/>
            <w:vAlign w:val="center"/>
          </w:tcPr>
          <w:p w14:paraId="2A45C9B3">
            <w:pPr>
              <w:jc w:val="center"/>
              <w:rPr>
                <w:rFonts w:eastAsia="方正仿宋简体"/>
                <w:color w:val="000000"/>
                <w:sz w:val="24"/>
              </w:rPr>
            </w:pPr>
          </w:p>
        </w:tc>
      </w:tr>
      <w:tr w14:paraId="2259521E">
        <w:tblPrEx>
          <w:tblCellMar>
            <w:top w:w="0" w:type="dxa"/>
            <w:left w:w="108" w:type="dxa"/>
            <w:bottom w:w="0" w:type="dxa"/>
            <w:right w:w="108" w:type="dxa"/>
          </w:tblCellMar>
        </w:tblPrEx>
        <w:trPr>
          <w:trHeight w:val="735" w:hRule="atLeast"/>
          <w:jc w:val="center"/>
        </w:trPr>
        <w:tc>
          <w:tcPr>
            <w:tcW w:w="555" w:type="dxa"/>
            <w:tcBorders>
              <w:top w:val="nil"/>
              <w:left w:val="single" w:color="auto" w:sz="4" w:space="0"/>
              <w:bottom w:val="single" w:color="auto" w:sz="4" w:space="0"/>
              <w:right w:val="single" w:color="auto" w:sz="4" w:space="0"/>
            </w:tcBorders>
            <w:noWrap/>
            <w:vAlign w:val="center"/>
          </w:tcPr>
          <w:p w14:paraId="7CD4FC9D">
            <w:pPr>
              <w:jc w:val="center"/>
              <w:rPr>
                <w:rFonts w:eastAsia="方正仿宋简体"/>
                <w:sz w:val="24"/>
              </w:rPr>
            </w:pPr>
            <w:r>
              <w:rPr>
                <w:rFonts w:eastAsia="方正仿宋简体"/>
                <w:sz w:val="24"/>
              </w:rPr>
              <w:t>8</w:t>
            </w:r>
          </w:p>
        </w:tc>
        <w:tc>
          <w:tcPr>
            <w:tcW w:w="1800" w:type="dxa"/>
            <w:tcBorders>
              <w:top w:val="nil"/>
              <w:left w:val="nil"/>
              <w:bottom w:val="single" w:color="auto" w:sz="4" w:space="0"/>
              <w:right w:val="single" w:color="auto" w:sz="4" w:space="0"/>
            </w:tcBorders>
            <w:noWrap/>
            <w:vAlign w:val="center"/>
          </w:tcPr>
          <w:p w14:paraId="44DA3B5D">
            <w:pPr>
              <w:jc w:val="center"/>
              <w:rPr>
                <w:rFonts w:eastAsia="方正仿宋简体"/>
                <w:sz w:val="24"/>
              </w:rPr>
            </w:pPr>
            <w:r>
              <w:rPr>
                <w:rFonts w:eastAsia="方正仿宋简体"/>
                <w:sz w:val="24"/>
              </w:rPr>
              <w:t>应急灯</w:t>
            </w:r>
          </w:p>
        </w:tc>
        <w:tc>
          <w:tcPr>
            <w:tcW w:w="1080" w:type="dxa"/>
            <w:tcBorders>
              <w:top w:val="nil"/>
              <w:left w:val="nil"/>
              <w:bottom w:val="single" w:color="auto" w:sz="4" w:space="0"/>
              <w:right w:val="single" w:color="auto" w:sz="4" w:space="0"/>
            </w:tcBorders>
            <w:noWrap/>
            <w:vAlign w:val="center"/>
          </w:tcPr>
          <w:p w14:paraId="05513405">
            <w:pPr>
              <w:jc w:val="center"/>
              <w:rPr>
                <w:rFonts w:eastAsia="方正仿宋简体"/>
                <w:sz w:val="24"/>
              </w:rPr>
            </w:pPr>
            <w:r>
              <w:rPr>
                <w:rFonts w:eastAsia="方正仿宋简体"/>
                <w:sz w:val="24"/>
              </w:rPr>
              <w:t>36个</w:t>
            </w:r>
          </w:p>
        </w:tc>
        <w:tc>
          <w:tcPr>
            <w:tcW w:w="3240" w:type="dxa"/>
            <w:vMerge w:val="continue"/>
            <w:tcBorders>
              <w:left w:val="nil"/>
              <w:right w:val="single" w:color="auto" w:sz="4" w:space="0"/>
            </w:tcBorders>
            <w:noWrap/>
            <w:vAlign w:val="center"/>
          </w:tcPr>
          <w:p w14:paraId="58B71680">
            <w:pPr>
              <w:jc w:val="center"/>
              <w:rPr>
                <w:rFonts w:eastAsia="方正仿宋简体"/>
                <w:sz w:val="24"/>
              </w:rPr>
            </w:pPr>
          </w:p>
        </w:tc>
        <w:tc>
          <w:tcPr>
            <w:tcW w:w="1800" w:type="dxa"/>
            <w:vMerge w:val="continue"/>
            <w:tcBorders>
              <w:left w:val="nil"/>
              <w:right w:val="single" w:color="auto" w:sz="4" w:space="0"/>
            </w:tcBorders>
            <w:noWrap/>
            <w:vAlign w:val="center"/>
          </w:tcPr>
          <w:p w14:paraId="5E9DF2CA">
            <w:pPr>
              <w:jc w:val="center"/>
              <w:rPr>
                <w:rFonts w:eastAsia="方正仿宋简体"/>
                <w:sz w:val="24"/>
              </w:rPr>
            </w:pPr>
          </w:p>
        </w:tc>
      </w:tr>
      <w:tr w14:paraId="520DD63C">
        <w:tblPrEx>
          <w:tblCellMar>
            <w:top w:w="0" w:type="dxa"/>
            <w:left w:w="108" w:type="dxa"/>
            <w:bottom w:w="0" w:type="dxa"/>
            <w:right w:w="108" w:type="dxa"/>
          </w:tblCellMar>
        </w:tblPrEx>
        <w:trPr>
          <w:trHeight w:val="735" w:hRule="atLeast"/>
          <w:jc w:val="center"/>
        </w:trPr>
        <w:tc>
          <w:tcPr>
            <w:tcW w:w="555" w:type="dxa"/>
            <w:tcBorders>
              <w:top w:val="nil"/>
              <w:left w:val="single" w:color="auto" w:sz="4" w:space="0"/>
              <w:bottom w:val="single" w:color="auto" w:sz="4" w:space="0"/>
              <w:right w:val="single" w:color="auto" w:sz="4" w:space="0"/>
            </w:tcBorders>
            <w:noWrap/>
            <w:vAlign w:val="center"/>
          </w:tcPr>
          <w:p w14:paraId="65F37D2D">
            <w:pPr>
              <w:jc w:val="center"/>
              <w:rPr>
                <w:rFonts w:eastAsia="方正仿宋简体"/>
                <w:sz w:val="24"/>
              </w:rPr>
            </w:pPr>
            <w:r>
              <w:rPr>
                <w:rFonts w:eastAsia="方正仿宋简体"/>
                <w:sz w:val="24"/>
              </w:rPr>
              <w:t>9</w:t>
            </w:r>
          </w:p>
        </w:tc>
        <w:tc>
          <w:tcPr>
            <w:tcW w:w="1800" w:type="dxa"/>
            <w:tcBorders>
              <w:top w:val="nil"/>
              <w:left w:val="nil"/>
              <w:bottom w:val="single" w:color="auto" w:sz="4" w:space="0"/>
              <w:right w:val="single" w:color="auto" w:sz="4" w:space="0"/>
            </w:tcBorders>
            <w:noWrap/>
            <w:vAlign w:val="center"/>
          </w:tcPr>
          <w:p w14:paraId="00F1856C">
            <w:pPr>
              <w:jc w:val="center"/>
              <w:rPr>
                <w:rFonts w:eastAsia="方正仿宋简体"/>
                <w:sz w:val="24"/>
              </w:rPr>
            </w:pPr>
            <w:r>
              <w:rPr>
                <w:rFonts w:eastAsia="方正仿宋简体"/>
                <w:sz w:val="24"/>
              </w:rPr>
              <w:t>备用电源</w:t>
            </w:r>
          </w:p>
        </w:tc>
        <w:tc>
          <w:tcPr>
            <w:tcW w:w="1080" w:type="dxa"/>
            <w:tcBorders>
              <w:top w:val="nil"/>
              <w:left w:val="nil"/>
              <w:bottom w:val="single" w:color="auto" w:sz="4" w:space="0"/>
              <w:right w:val="single" w:color="auto" w:sz="4" w:space="0"/>
            </w:tcBorders>
            <w:noWrap/>
            <w:vAlign w:val="center"/>
          </w:tcPr>
          <w:p w14:paraId="7418C32C">
            <w:pPr>
              <w:jc w:val="center"/>
              <w:rPr>
                <w:rFonts w:eastAsia="方正仿宋简体"/>
                <w:sz w:val="24"/>
              </w:rPr>
            </w:pPr>
            <w:r>
              <w:rPr>
                <w:rFonts w:eastAsia="方正仿宋简体"/>
                <w:sz w:val="24"/>
              </w:rPr>
              <w:t>1台</w:t>
            </w:r>
          </w:p>
        </w:tc>
        <w:tc>
          <w:tcPr>
            <w:tcW w:w="3240" w:type="dxa"/>
            <w:vMerge w:val="continue"/>
            <w:tcBorders>
              <w:left w:val="nil"/>
              <w:bottom w:val="single" w:color="auto" w:sz="4" w:space="0"/>
              <w:right w:val="single" w:color="auto" w:sz="4" w:space="0"/>
            </w:tcBorders>
            <w:noWrap/>
            <w:vAlign w:val="center"/>
          </w:tcPr>
          <w:p w14:paraId="16363728">
            <w:pPr>
              <w:jc w:val="center"/>
              <w:rPr>
                <w:rFonts w:eastAsia="方正仿宋简体"/>
                <w:sz w:val="24"/>
              </w:rPr>
            </w:pPr>
          </w:p>
        </w:tc>
        <w:tc>
          <w:tcPr>
            <w:tcW w:w="1800" w:type="dxa"/>
            <w:vMerge w:val="continue"/>
            <w:tcBorders>
              <w:left w:val="nil"/>
              <w:bottom w:val="single" w:color="auto" w:sz="4" w:space="0"/>
              <w:right w:val="single" w:color="auto" w:sz="4" w:space="0"/>
            </w:tcBorders>
            <w:noWrap/>
            <w:vAlign w:val="center"/>
          </w:tcPr>
          <w:p w14:paraId="48BA7B59">
            <w:pPr>
              <w:jc w:val="center"/>
              <w:rPr>
                <w:rFonts w:eastAsia="方正仿宋简体"/>
                <w:sz w:val="24"/>
              </w:rPr>
            </w:pPr>
          </w:p>
        </w:tc>
      </w:tr>
      <w:tr w14:paraId="608760C6">
        <w:tblPrEx>
          <w:tblCellMar>
            <w:top w:w="0" w:type="dxa"/>
            <w:left w:w="108" w:type="dxa"/>
            <w:bottom w:w="0" w:type="dxa"/>
            <w:right w:w="108" w:type="dxa"/>
          </w:tblCellMar>
        </w:tblPrEx>
        <w:trPr>
          <w:trHeight w:val="885" w:hRule="atLeast"/>
          <w:jc w:val="center"/>
        </w:trPr>
        <w:tc>
          <w:tcPr>
            <w:tcW w:w="555" w:type="dxa"/>
            <w:tcBorders>
              <w:top w:val="nil"/>
              <w:left w:val="single" w:color="auto" w:sz="4" w:space="0"/>
              <w:bottom w:val="single" w:color="auto" w:sz="4" w:space="0"/>
              <w:right w:val="single" w:color="auto" w:sz="4" w:space="0"/>
            </w:tcBorders>
            <w:noWrap/>
            <w:vAlign w:val="center"/>
          </w:tcPr>
          <w:p w14:paraId="63D8AD9F">
            <w:pPr>
              <w:jc w:val="center"/>
              <w:rPr>
                <w:rFonts w:eastAsia="方正仿宋简体"/>
                <w:sz w:val="24"/>
              </w:rPr>
            </w:pPr>
            <w:r>
              <w:rPr>
                <w:rFonts w:eastAsia="方正仿宋简体"/>
                <w:sz w:val="24"/>
              </w:rPr>
              <w:t>10</w:t>
            </w:r>
          </w:p>
        </w:tc>
        <w:tc>
          <w:tcPr>
            <w:tcW w:w="1800" w:type="dxa"/>
            <w:tcBorders>
              <w:top w:val="nil"/>
              <w:left w:val="nil"/>
              <w:bottom w:val="single" w:color="auto" w:sz="4" w:space="0"/>
              <w:right w:val="single" w:color="auto" w:sz="4" w:space="0"/>
            </w:tcBorders>
            <w:noWrap/>
            <w:vAlign w:val="center"/>
          </w:tcPr>
          <w:p w14:paraId="1DF43F47">
            <w:pPr>
              <w:jc w:val="center"/>
              <w:rPr>
                <w:rFonts w:eastAsia="方正仿宋简体"/>
                <w:sz w:val="24"/>
              </w:rPr>
            </w:pPr>
            <w:r>
              <w:rPr>
                <w:rFonts w:eastAsia="方正仿宋简体"/>
                <w:sz w:val="24"/>
              </w:rPr>
              <w:t>棉被</w:t>
            </w:r>
          </w:p>
        </w:tc>
        <w:tc>
          <w:tcPr>
            <w:tcW w:w="1080" w:type="dxa"/>
            <w:tcBorders>
              <w:top w:val="nil"/>
              <w:left w:val="nil"/>
              <w:bottom w:val="single" w:color="auto" w:sz="4" w:space="0"/>
              <w:right w:val="single" w:color="auto" w:sz="4" w:space="0"/>
            </w:tcBorders>
            <w:noWrap/>
            <w:vAlign w:val="center"/>
          </w:tcPr>
          <w:p w14:paraId="7678C43F">
            <w:pPr>
              <w:jc w:val="center"/>
              <w:rPr>
                <w:rFonts w:eastAsia="方正仿宋简体"/>
                <w:sz w:val="24"/>
              </w:rPr>
            </w:pPr>
            <w:r>
              <w:rPr>
                <w:rFonts w:eastAsia="方正仿宋简体"/>
                <w:sz w:val="24"/>
              </w:rPr>
              <w:t>若干</w:t>
            </w:r>
          </w:p>
        </w:tc>
        <w:tc>
          <w:tcPr>
            <w:tcW w:w="3240" w:type="dxa"/>
            <w:tcBorders>
              <w:top w:val="nil"/>
              <w:left w:val="nil"/>
              <w:bottom w:val="single" w:color="auto" w:sz="4" w:space="0"/>
              <w:right w:val="single" w:color="auto" w:sz="4" w:space="0"/>
            </w:tcBorders>
            <w:noWrap/>
            <w:vAlign w:val="center"/>
          </w:tcPr>
          <w:p w14:paraId="7F68EBC2">
            <w:pPr>
              <w:jc w:val="center"/>
              <w:rPr>
                <w:rFonts w:eastAsia="方正仿宋简体"/>
                <w:sz w:val="24"/>
              </w:rPr>
            </w:pPr>
            <w:r>
              <w:rPr>
                <w:rFonts w:eastAsia="方正仿宋简体"/>
                <w:sz w:val="24"/>
              </w:rPr>
              <w:t>沙县</w:t>
            </w:r>
            <w:r>
              <w:rPr>
                <w:rFonts w:hint="eastAsia" w:eastAsia="方正仿宋简体"/>
                <w:sz w:val="24"/>
              </w:rPr>
              <w:t>民政</w:t>
            </w:r>
            <w:r>
              <w:rPr>
                <w:rFonts w:eastAsia="方正仿宋简体"/>
                <w:sz w:val="24"/>
              </w:rPr>
              <w:t>局</w:t>
            </w:r>
          </w:p>
        </w:tc>
        <w:tc>
          <w:tcPr>
            <w:tcW w:w="1800" w:type="dxa"/>
            <w:tcBorders>
              <w:top w:val="nil"/>
              <w:left w:val="nil"/>
              <w:bottom w:val="single" w:color="auto" w:sz="4" w:space="0"/>
              <w:right w:val="single" w:color="auto" w:sz="4" w:space="0"/>
            </w:tcBorders>
            <w:noWrap/>
            <w:vAlign w:val="center"/>
          </w:tcPr>
          <w:p w14:paraId="36AD1D0B">
            <w:pPr>
              <w:jc w:val="center"/>
              <w:rPr>
                <w:rFonts w:hint="eastAsia" w:eastAsia="方正仿宋简体"/>
                <w:sz w:val="24"/>
              </w:rPr>
            </w:pPr>
            <w:r>
              <w:rPr>
                <w:rFonts w:hint="eastAsia" w:eastAsia="方正仿宋简体"/>
                <w:sz w:val="24"/>
              </w:rPr>
              <w:t>黄裕椿</w:t>
            </w:r>
          </w:p>
          <w:p w14:paraId="30D7A553">
            <w:pPr>
              <w:jc w:val="center"/>
              <w:rPr>
                <w:rFonts w:hint="eastAsia" w:eastAsia="方正仿宋简体"/>
                <w:sz w:val="24"/>
              </w:rPr>
            </w:pPr>
            <w:r>
              <w:rPr>
                <w:rFonts w:hint="eastAsia" w:eastAsia="方正仿宋简体"/>
                <w:sz w:val="24"/>
              </w:rPr>
              <w:t>138</w:t>
            </w:r>
            <w:r>
              <w:rPr>
                <w:rFonts w:hint="eastAsia" w:eastAsia="方正仿宋简体"/>
                <w:sz w:val="24"/>
                <w:lang w:val="en-US" w:eastAsia="zh-CN"/>
              </w:rPr>
              <w:t>****</w:t>
            </w:r>
            <w:r>
              <w:rPr>
                <w:rFonts w:hint="eastAsia" w:eastAsia="方正仿宋简体"/>
                <w:sz w:val="24"/>
              </w:rPr>
              <w:t>2850</w:t>
            </w:r>
          </w:p>
        </w:tc>
      </w:tr>
      <w:tr w14:paraId="45367753">
        <w:tblPrEx>
          <w:tblCellMar>
            <w:top w:w="0" w:type="dxa"/>
            <w:left w:w="108" w:type="dxa"/>
            <w:bottom w:w="0" w:type="dxa"/>
            <w:right w:w="108" w:type="dxa"/>
          </w:tblCellMar>
        </w:tblPrEx>
        <w:trPr>
          <w:trHeight w:val="885" w:hRule="atLeast"/>
          <w:jc w:val="center"/>
        </w:trPr>
        <w:tc>
          <w:tcPr>
            <w:tcW w:w="555" w:type="dxa"/>
            <w:tcBorders>
              <w:top w:val="single" w:color="auto" w:sz="4" w:space="0"/>
              <w:left w:val="single" w:color="auto" w:sz="4" w:space="0"/>
              <w:bottom w:val="single" w:color="auto" w:sz="4" w:space="0"/>
              <w:right w:val="single" w:color="auto" w:sz="4" w:space="0"/>
            </w:tcBorders>
            <w:noWrap/>
            <w:vAlign w:val="center"/>
          </w:tcPr>
          <w:p w14:paraId="744235D7">
            <w:pPr>
              <w:jc w:val="center"/>
              <w:rPr>
                <w:rFonts w:eastAsia="方正仿宋简体"/>
                <w:sz w:val="24"/>
              </w:rPr>
            </w:pPr>
            <w:r>
              <w:rPr>
                <w:rFonts w:eastAsia="方正仿宋简体"/>
                <w:sz w:val="24"/>
              </w:rPr>
              <w:t>11</w:t>
            </w:r>
          </w:p>
        </w:tc>
        <w:tc>
          <w:tcPr>
            <w:tcW w:w="1800" w:type="dxa"/>
            <w:tcBorders>
              <w:top w:val="single" w:color="auto" w:sz="4" w:space="0"/>
              <w:left w:val="nil"/>
              <w:bottom w:val="single" w:color="auto" w:sz="4" w:space="0"/>
              <w:right w:val="single" w:color="auto" w:sz="4" w:space="0"/>
            </w:tcBorders>
            <w:noWrap/>
            <w:vAlign w:val="center"/>
          </w:tcPr>
          <w:p w14:paraId="27D4A7DA">
            <w:pPr>
              <w:jc w:val="center"/>
              <w:rPr>
                <w:rFonts w:eastAsia="方正仿宋简体"/>
                <w:sz w:val="24"/>
              </w:rPr>
            </w:pPr>
            <w:r>
              <w:rPr>
                <w:rFonts w:eastAsia="方正仿宋简体"/>
                <w:sz w:val="24"/>
              </w:rPr>
              <w:t>应急监测设备</w:t>
            </w:r>
          </w:p>
        </w:tc>
        <w:tc>
          <w:tcPr>
            <w:tcW w:w="1080" w:type="dxa"/>
            <w:tcBorders>
              <w:top w:val="single" w:color="auto" w:sz="4" w:space="0"/>
              <w:left w:val="nil"/>
              <w:bottom w:val="single" w:color="auto" w:sz="4" w:space="0"/>
              <w:right w:val="single" w:color="auto" w:sz="4" w:space="0"/>
            </w:tcBorders>
            <w:noWrap/>
            <w:vAlign w:val="center"/>
          </w:tcPr>
          <w:p w14:paraId="49A28055">
            <w:pPr>
              <w:jc w:val="center"/>
              <w:rPr>
                <w:rFonts w:eastAsia="方正仿宋简体"/>
                <w:sz w:val="24"/>
              </w:rPr>
            </w:pPr>
            <w:r>
              <w:rPr>
                <w:rFonts w:eastAsia="方正仿宋简体"/>
                <w:sz w:val="24"/>
              </w:rPr>
              <w:t>---</w:t>
            </w:r>
          </w:p>
        </w:tc>
        <w:tc>
          <w:tcPr>
            <w:tcW w:w="3240" w:type="dxa"/>
            <w:tcBorders>
              <w:top w:val="single" w:color="auto" w:sz="4" w:space="0"/>
              <w:left w:val="nil"/>
              <w:bottom w:val="single" w:color="auto" w:sz="4" w:space="0"/>
              <w:right w:val="single" w:color="auto" w:sz="4" w:space="0"/>
            </w:tcBorders>
            <w:noWrap/>
            <w:vAlign w:val="center"/>
          </w:tcPr>
          <w:p w14:paraId="31825FED">
            <w:pPr>
              <w:jc w:val="center"/>
              <w:rPr>
                <w:rFonts w:eastAsia="方正仿宋简体"/>
                <w:sz w:val="24"/>
              </w:rPr>
            </w:pPr>
            <w:r>
              <w:rPr>
                <w:rFonts w:eastAsia="方正仿宋简体"/>
                <w:sz w:val="24"/>
              </w:rPr>
              <w:t>沙县环境监测站</w:t>
            </w:r>
          </w:p>
        </w:tc>
        <w:tc>
          <w:tcPr>
            <w:tcW w:w="1800" w:type="dxa"/>
            <w:tcBorders>
              <w:top w:val="single" w:color="auto" w:sz="4" w:space="0"/>
              <w:left w:val="nil"/>
              <w:bottom w:val="single" w:color="auto" w:sz="4" w:space="0"/>
              <w:right w:val="single" w:color="auto" w:sz="4" w:space="0"/>
            </w:tcBorders>
            <w:noWrap/>
            <w:vAlign w:val="center"/>
          </w:tcPr>
          <w:p w14:paraId="400446C2">
            <w:pPr>
              <w:jc w:val="center"/>
              <w:rPr>
                <w:rFonts w:eastAsia="方正仿宋简体"/>
                <w:sz w:val="24"/>
              </w:rPr>
            </w:pPr>
            <w:r>
              <w:rPr>
                <w:rFonts w:eastAsia="方正仿宋简体"/>
                <w:sz w:val="24"/>
              </w:rPr>
              <w:t>曹家新</w:t>
            </w:r>
          </w:p>
          <w:p w14:paraId="55E09EC1">
            <w:pPr>
              <w:jc w:val="center"/>
              <w:rPr>
                <w:rFonts w:eastAsia="方正仿宋简体"/>
                <w:sz w:val="24"/>
              </w:rPr>
            </w:pPr>
            <w:r>
              <w:rPr>
                <w:rFonts w:eastAsia="方正仿宋简体"/>
                <w:sz w:val="24"/>
              </w:rPr>
              <w:t>136</w:t>
            </w:r>
            <w:r>
              <w:rPr>
                <w:rFonts w:hint="eastAsia" w:eastAsia="方正仿宋简体"/>
                <w:sz w:val="24"/>
                <w:lang w:val="en-US" w:eastAsia="zh-CN"/>
              </w:rPr>
              <w:t>****</w:t>
            </w:r>
            <w:r>
              <w:rPr>
                <w:rFonts w:eastAsia="方正仿宋简体"/>
                <w:sz w:val="24"/>
              </w:rPr>
              <w:t>3989</w:t>
            </w:r>
          </w:p>
        </w:tc>
      </w:tr>
    </w:tbl>
    <w:p w14:paraId="6ED4769E">
      <w:pPr>
        <w:rPr>
          <w:rFonts w:hint="eastAsia" w:ascii="宋体" w:hAnsi="宋体"/>
          <w:sz w:val="24"/>
        </w:rPr>
      </w:pPr>
    </w:p>
    <w:p w14:paraId="1F514CEC">
      <w:pPr>
        <w:rPr>
          <w:rFonts w:hint="eastAsia" w:ascii="宋体" w:hAnsi="宋体"/>
          <w:sz w:val="24"/>
        </w:rPr>
      </w:pPr>
    </w:p>
    <w:p w14:paraId="0E803D0A">
      <w:pPr>
        <w:rPr>
          <w:rFonts w:hint="eastAsia" w:ascii="宋体" w:hAnsi="宋体"/>
          <w:sz w:val="24"/>
        </w:rPr>
      </w:pPr>
    </w:p>
    <w:p w14:paraId="4C5A8468">
      <w:pPr>
        <w:rPr>
          <w:rFonts w:hint="eastAsia" w:ascii="宋体" w:hAnsi="宋体"/>
          <w:sz w:val="24"/>
        </w:rPr>
      </w:pPr>
    </w:p>
    <w:p w14:paraId="0D2B73F2">
      <w:pPr>
        <w:rPr>
          <w:rFonts w:hint="eastAsia" w:ascii="宋体" w:hAnsi="宋体"/>
          <w:sz w:val="24"/>
        </w:rPr>
      </w:pPr>
    </w:p>
    <w:p w14:paraId="69F7D3CC">
      <w:pPr>
        <w:spacing w:line="596" w:lineRule="exact"/>
        <w:textAlignment w:val="top"/>
        <w:rPr>
          <w:rFonts w:hint="eastAsia" w:ascii="方正仿宋简体" w:hAnsi="宋体" w:eastAsia="方正仿宋简体"/>
          <w:sz w:val="32"/>
          <w:szCs w:val="32"/>
        </w:rPr>
      </w:pPr>
    </w:p>
    <w:tbl>
      <w:tblPr>
        <w:tblStyle w:val="7"/>
        <w:tblpPr w:leftFromText="181" w:rightFromText="181" w:horzAnchor="margin" w:tblpYSpec="bottom"/>
        <w:tblW w:w="8860" w:type="dxa"/>
        <w:tblInd w:w="0" w:type="dxa"/>
        <w:tblBorders>
          <w:top w:val="single" w:color="auto" w:sz="8"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0" w:type="dxa"/>
          <w:bottom w:w="0" w:type="dxa"/>
          <w:right w:w="0" w:type="dxa"/>
        </w:tblCellMar>
      </w:tblPr>
      <w:tblGrid>
        <w:gridCol w:w="1142"/>
        <w:gridCol w:w="3943"/>
        <w:gridCol w:w="3775"/>
      </w:tblGrid>
      <w:tr w14:paraId="4E342502">
        <w:tblPrEx>
          <w:tblBorders>
            <w:top w:val="single" w:color="auto" w:sz="8" w:space="0"/>
            <w:left w:val="none" w:color="auto" w:sz="0" w:space="0"/>
            <w:bottom w:val="none" w:color="auto" w:sz="0" w:space="0"/>
            <w:right w:val="none" w:color="auto" w:sz="0" w:space="0"/>
            <w:insideH w:val="single" w:color="auto" w:sz="4" w:space="0"/>
            <w:insideV w:val="none" w:color="auto" w:sz="0" w:space="0"/>
          </w:tblBorders>
          <w:tblCellMar>
            <w:top w:w="0" w:type="dxa"/>
            <w:left w:w="0" w:type="dxa"/>
            <w:bottom w:w="0" w:type="dxa"/>
            <w:right w:w="0" w:type="dxa"/>
          </w:tblCellMar>
        </w:tblPrEx>
        <w:trPr>
          <w:cantSplit/>
          <w:trHeight w:val="578" w:hRule="atLeast"/>
        </w:trPr>
        <w:tc>
          <w:tcPr>
            <w:tcW w:w="1142" w:type="dxa"/>
            <w:tcBorders>
              <w:top w:val="single" w:color="auto" w:sz="8" w:space="0"/>
              <w:bottom w:val="single" w:color="auto" w:sz="4" w:space="0"/>
            </w:tcBorders>
          </w:tcPr>
          <w:p w14:paraId="453C9FF6">
            <w:pPr>
              <w:spacing w:line="560" w:lineRule="exact"/>
              <w:ind w:firstLine="280" w:firstLineChars="100"/>
              <w:rPr>
                <w:rFonts w:hint="eastAsia" w:ascii="方正仿宋简体" w:hAnsi="方正仿宋_GBK" w:eastAsia="方正仿宋简体"/>
                <w:sz w:val="28"/>
                <w:szCs w:val="28"/>
              </w:rPr>
            </w:pPr>
            <w:r>
              <w:rPr>
                <w:rFonts w:hint="eastAsia" w:ascii="方正仿宋简体" w:hAnsi="方正仿宋_GBK" w:eastAsia="方正仿宋简体"/>
                <w:sz w:val="28"/>
                <w:szCs w:val="28"/>
              </w:rPr>
              <w:t>抄送：</w:t>
            </w:r>
          </w:p>
        </w:tc>
        <w:tc>
          <w:tcPr>
            <w:tcW w:w="7718" w:type="dxa"/>
            <w:gridSpan w:val="2"/>
            <w:tcBorders>
              <w:top w:val="single" w:color="auto" w:sz="8" w:space="0"/>
            </w:tcBorders>
            <w:vAlign w:val="center"/>
          </w:tcPr>
          <w:p w14:paraId="45B26AD1">
            <w:pPr>
              <w:spacing w:line="560" w:lineRule="exact"/>
              <w:ind w:right="210" w:rightChars="100"/>
              <w:rPr>
                <w:rFonts w:hint="eastAsia" w:ascii="方正仿宋简体" w:hAnsi="方正仿宋_GBK" w:eastAsia="方正仿宋简体"/>
                <w:sz w:val="28"/>
                <w:szCs w:val="28"/>
              </w:rPr>
            </w:pPr>
            <w:r>
              <w:rPr>
                <w:rFonts w:hint="eastAsia" w:ascii="方正仿宋简体" w:hAnsi="方正仿宋_GBK" w:eastAsia="方正仿宋简体"/>
                <w:sz w:val="28"/>
                <w:szCs w:val="28"/>
              </w:rPr>
              <w:fldChar w:fldCharType="begin"/>
            </w:r>
            <w:r>
              <w:rPr>
                <w:rFonts w:hint="eastAsia" w:ascii="方正仿宋简体" w:hAnsi="方正仿宋_GBK" w:eastAsia="方正仿宋简体"/>
                <w:sz w:val="28"/>
                <w:szCs w:val="28"/>
              </w:rPr>
              <w:instrText xml:space="preserve"> MERGEFIELD 抄送 </w:instrText>
            </w:r>
            <w:r>
              <w:rPr>
                <w:rFonts w:hint="eastAsia" w:ascii="方正仿宋简体" w:hAnsi="方正仿宋_GBK" w:eastAsia="方正仿宋简体"/>
                <w:sz w:val="28"/>
                <w:szCs w:val="28"/>
              </w:rPr>
              <w:fldChar w:fldCharType="separate"/>
            </w:r>
            <w:r>
              <w:rPr>
                <w:rFonts w:hint="eastAsia" w:ascii="方正仿宋简体" w:hAnsi="方正仿宋_GBK" w:eastAsia="方正仿宋简体"/>
                <w:sz w:val="28"/>
                <w:szCs w:val="28"/>
              </w:rPr>
              <w:t>市政府办公室，市环保局。</w:t>
            </w:r>
          </w:p>
          <w:p w14:paraId="7BA9812E">
            <w:pPr>
              <w:spacing w:line="560" w:lineRule="exact"/>
              <w:ind w:right="210" w:rightChars="100"/>
              <w:rPr>
                <w:rFonts w:hint="eastAsia" w:ascii="方正仿宋简体" w:hAnsi="方正仿宋_GBK" w:eastAsia="方正仿宋简体"/>
                <w:sz w:val="28"/>
                <w:szCs w:val="28"/>
              </w:rPr>
            </w:pPr>
            <w:r>
              <w:rPr>
                <w:rFonts w:hint="eastAsia" w:ascii="方正仿宋简体" w:hAnsi="方正仿宋_GBK" w:eastAsia="方正仿宋简体"/>
                <w:sz w:val="28"/>
                <w:szCs w:val="28"/>
              </w:rPr>
              <w:t>县委办公室。</w:t>
            </w:r>
          </w:p>
          <w:p w14:paraId="6DC7721F">
            <w:pPr>
              <w:spacing w:line="560" w:lineRule="exact"/>
              <w:ind w:right="210" w:rightChars="100"/>
              <w:rPr>
                <w:rFonts w:hint="eastAsia" w:ascii="方正仿宋简体" w:hAnsi="方正仿宋_GBK" w:eastAsia="方正仿宋简体"/>
                <w:sz w:val="28"/>
                <w:szCs w:val="28"/>
              </w:rPr>
            </w:pPr>
            <w:r>
              <w:rPr>
                <w:rFonts w:hint="eastAsia" w:ascii="方正仿宋简体" w:hAnsi="方正仿宋_GBK" w:eastAsia="方正仿宋简体"/>
                <w:sz w:val="28"/>
                <w:szCs w:val="28"/>
              </w:rPr>
              <w:t>县人大常委会办公室，县政协办公室。</w:t>
            </w:r>
            <w:r>
              <w:rPr>
                <w:rFonts w:hint="eastAsia" w:ascii="方正仿宋简体" w:hAnsi="方正仿宋_GBK" w:eastAsia="方正仿宋简体"/>
                <w:sz w:val="28"/>
                <w:szCs w:val="28"/>
              </w:rPr>
              <w:fldChar w:fldCharType="end"/>
            </w:r>
          </w:p>
        </w:tc>
      </w:tr>
      <w:tr w14:paraId="1E1762EA">
        <w:tblPrEx>
          <w:tblBorders>
            <w:top w:val="single" w:color="auto" w:sz="8" w:space="0"/>
            <w:left w:val="none" w:color="auto" w:sz="0" w:space="0"/>
            <w:bottom w:val="none" w:color="auto" w:sz="0" w:space="0"/>
            <w:right w:val="none" w:color="auto" w:sz="0" w:space="0"/>
            <w:insideH w:val="single" w:color="auto" w:sz="4" w:space="0"/>
            <w:insideV w:val="none" w:color="auto" w:sz="0" w:space="0"/>
          </w:tblBorders>
          <w:tblCellMar>
            <w:top w:w="0" w:type="dxa"/>
            <w:left w:w="0" w:type="dxa"/>
            <w:bottom w:w="0" w:type="dxa"/>
            <w:right w:w="0" w:type="dxa"/>
          </w:tblCellMar>
        </w:tblPrEx>
        <w:trPr>
          <w:cantSplit/>
          <w:trHeight w:val="578" w:hRule="atLeast"/>
        </w:trPr>
        <w:tc>
          <w:tcPr>
            <w:tcW w:w="5085" w:type="dxa"/>
            <w:gridSpan w:val="2"/>
            <w:tcBorders>
              <w:top w:val="single" w:color="auto" w:sz="4" w:space="0"/>
              <w:bottom w:val="single" w:color="auto" w:sz="8" w:space="0"/>
            </w:tcBorders>
            <w:vAlign w:val="center"/>
          </w:tcPr>
          <w:p w14:paraId="12AC6A0B">
            <w:pPr>
              <w:pStyle w:val="4"/>
              <w:spacing w:line="560" w:lineRule="exact"/>
              <w:ind w:firstLine="280" w:firstLineChars="100"/>
              <w:rPr>
                <w:rFonts w:hint="eastAsia" w:ascii="方正仿宋简体" w:hAnsi="仿宋" w:eastAsia="方正仿宋简体"/>
                <w:sz w:val="28"/>
                <w:szCs w:val="28"/>
              </w:rPr>
            </w:pPr>
            <w:r>
              <w:rPr>
                <w:rFonts w:hint="eastAsia" w:ascii="方正仿宋简体" w:hAnsi="仿宋" w:eastAsia="方正仿宋简体"/>
                <w:sz w:val="28"/>
                <w:szCs w:val="28"/>
              </w:rPr>
              <w:t xml:space="preserve">沙县人民政府办公室 </w:t>
            </w:r>
          </w:p>
        </w:tc>
        <w:tc>
          <w:tcPr>
            <w:tcW w:w="3775" w:type="dxa"/>
            <w:tcBorders>
              <w:top w:val="single" w:color="auto" w:sz="4" w:space="0"/>
              <w:bottom w:val="single" w:color="auto" w:sz="8" w:space="0"/>
            </w:tcBorders>
            <w:vAlign w:val="center"/>
          </w:tcPr>
          <w:p w14:paraId="1A2C759E">
            <w:pPr>
              <w:spacing w:line="560" w:lineRule="exact"/>
              <w:ind w:right="210" w:rightChars="100"/>
              <w:jc w:val="right"/>
              <w:rPr>
                <w:rFonts w:hint="eastAsia" w:ascii="仿宋_GB2312" w:hAnsi="方正仿宋_GBK"/>
                <w:sz w:val="28"/>
                <w:szCs w:val="28"/>
              </w:rPr>
            </w:pPr>
            <w:r>
              <w:rPr>
                <w:rFonts w:eastAsia="方正仿宋简体"/>
                <w:sz w:val="28"/>
                <w:szCs w:val="28"/>
              </w:rPr>
              <w:t>2018年10月26日印</w:t>
            </w:r>
            <w:r>
              <w:rPr>
                <w:rFonts w:hint="eastAsia" w:ascii="方正仿宋简体" w:hAnsi="仿宋" w:eastAsia="方正仿宋简体"/>
                <w:sz w:val="28"/>
                <w:szCs w:val="28"/>
              </w:rPr>
              <w:t>发</w:t>
            </w:r>
          </w:p>
        </w:tc>
      </w:tr>
    </w:tbl>
    <w:p w14:paraId="08948C23">
      <w:pPr>
        <w:spacing w:line="596" w:lineRule="exact"/>
        <w:ind w:firstLine="420"/>
        <w:textAlignment w:val="top"/>
        <w:rPr>
          <w:rFonts w:hint="eastAsia" w:ascii="仿宋_GB2312"/>
        </w:rPr>
      </w:pPr>
      <w:bookmarkStart w:id="108" w:name="BodyEnd"/>
      <w:bookmarkEnd w:id="108"/>
    </w:p>
    <w:p w14:paraId="514B3567">
      <w:pPr>
        <w:ind w:firstLine="199" w:firstLineChars="95"/>
      </w:pPr>
    </w:p>
    <w:sectPr>
      <w:footerReference r:id="rId9" w:type="default"/>
      <w:footerReference r:id="rId10" w:type="even"/>
      <w:pgSz w:w="11906" w:h="16838"/>
      <w:pgMar w:top="1701" w:right="1531" w:bottom="1701" w:left="1531" w:header="851" w:footer="1361" w:gutter="0"/>
      <w:pgNumType w:start="46"/>
      <w:cols w:space="425" w:num="1"/>
      <w:docGrid w:type="lines" w:linePitch="317"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2DAA">
    <w:pPr>
      <w:pStyle w:val="5"/>
      <w:framePr w:wrap="around" w:vAnchor="text" w:hAnchor="margin" w:xAlign="outside" w:y="1"/>
      <w:ind w:right="216" w:rightChars="103" w:firstLine="313" w:firstLineChars="112"/>
      <w:rPr>
        <w:rStyle w:val="9"/>
        <w:rFonts w:hint="eastAsia"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37</w:t>
    </w:r>
    <w:r>
      <w:rPr>
        <w:rFonts w:ascii="宋体" w:hAnsi="宋体"/>
        <w:sz w:val="28"/>
        <w:szCs w:val="28"/>
      </w:rPr>
      <w:fldChar w:fldCharType="end"/>
    </w:r>
    <w:r>
      <w:rPr>
        <w:rFonts w:hint="eastAsia" w:ascii="宋体" w:hAnsi="宋体"/>
        <w:sz w:val="28"/>
        <w:szCs w:val="28"/>
      </w:rPr>
      <w:t xml:space="preserve"> —</w:t>
    </w:r>
  </w:p>
  <w:p w14:paraId="15462FAD">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8CD44">
    <w:pPr>
      <w:pStyle w:val="5"/>
      <w:framePr w:wrap="around" w:vAnchor="text" w:hAnchor="margin" w:xAlign="outside" w:y="1"/>
      <w:rPr>
        <w:rStyle w:val="9"/>
        <w:rFonts w:hint="eastAsia" w:ascii="宋体" w:hAnsi="宋体"/>
        <w:sz w:val="28"/>
        <w:szCs w:val="28"/>
      </w:rPr>
    </w:pPr>
    <w:r>
      <w:rPr>
        <w:rStyle w:val="9"/>
        <w:rFonts w:hint="eastAsia" w:ascii="宋体" w:hAnsi="宋体"/>
        <w:sz w:val="28"/>
        <w:szCs w:val="28"/>
      </w:rPr>
      <w:t xml:space="preserve">— </w:t>
    </w: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2</w:t>
    </w:r>
    <w:r>
      <w:rPr>
        <w:rStyle w:val="9"/>
        <w:rFonts w:ascii="宋体" w:hAnsi="宋体"/>
        <w:sz w:val="28"/>
        <w:szCs w:val="28"/>
      </w:rPr>
      <w:fldChar w:fldCharType="end"/>
    </w:r>
    <w:r>
      <w:rPr>
        <w:rStyle w:val="9"/>
        <w:rFonts w:hint="eastAsia" w:ascii="宋体" w:hAnsi="宋体"/>
        <w:sz w:val="28"/>
        <w:szCs w:val="28"/>
      </w:rPr>
      <w:t xml:space="preserve"> —</w:t>
    </w:r>
  </w:p>
  <w:p w14:paraId="602AC9E8">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890FC">
    <w:pPr>
      <w:pStyle w:val="5"/>
      <w:tabs>
        <w:tab w:val="right" w:pos="8820"/>
        <w:tab w:val="clear" w:pos="8306"/>
      </w:tabs>
      <w:ind w:left="210" w:leftChars="100" w:right="210" w:rightChars="100"/>
      <w:jc w:val="right"/>
      <w:rPr>
        <w:rFonts w:hint="eastAsia" w:ascii="宋体" w:hAnsi="宋体"/>
        <w:sz w:val="28"/>
        <w:szCs w:val="28"/>
      </w:rPr>
    </w:pPr>
    <w:r>
      <w:rPr>
        <w:rStyle w:val="9"/>
        <w:rFonts w:hint="eastAsia" w:ascii="宋体" w:hAnsi="宋体"/>
        <w:sz w:val="28"/>
        <w:szCs w:val="28"/>
      </w:rPr>
      <w:t xml:space="preserve">— </w:t>
    </w:r>
    <w:r>
      <w:rPr>
        <w:rStyle w:val="9"/>
        <w:rFonts w:ascii="宋体" w:hAnsi="宋体"/>
        <w:sz w:val="28"/>
        <w:szCs w:val="28"/>
      </w:rPr>
      <w:fldChar w:fldCharType="begin"/>
    </w:r>
    <w:r>
      <w:rPr>
        <w:rStyle w:val="9"/>
        <w:rFonts w:ascii="宋体" w:hAnsi="宋体"/>
        <w:sz w:val="28"/>
        <w:szCs w:val="28"/>
      </w:rPr>
      <w:instrText xml:space="preserve"> PAGE </w:instrText>
    </w:r>
    <w:r>
      <w:rPr>
        <w:rStyle w:val="9"/>
        <w:rFonts w:ascii="宋体" w:hAnsi="宋体"/>
        <w:sz w:val="28"/>
        <w:szCs w:val="28"/>
      </w:rPr>
      <w:fldChar w:fldCharType="separate"/>
    </w:r>
    <w:r>
      <w:rPr>
        <w:rStyle w:val="9"/>
        <w:rFonts w:ascii="宋体" w:hAnsi="宋体"/>
        <w:sz w:val="28"/>
        <w:szCs w:val="28"/>
      </w:rPr>
      <w:t>46</w:t>
    </w:r>
    <w:r>
      <w:rPr>
        <w:rStyle w:val="9"/>
        <w:rFonts w:ascii="宋体" w:hAnsi="宋体"/>
        <w:sz w:val="28"/>
        <w:szCs w:val="28"/>
      </w:rPr>
      <w:fldChar w:fldCharType="end"/>
    </w:r>
    <w:r>
      <w:rPr>
        <w:rStyle w:val="9"/>
        <w:rFonts w:hint="eastAsia" w:ascii="宋体" w:hAnsi="宋体"/>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A2C69">
    <w:pPr>
      <w:pStyle w:val="5"/>
      <w:ind w:left="210" w:leftChars="100" w:right="210" w:rightChars="100"/>
      <w:jc w:val="both"/>
      <w:rPr>
        <w:rFonts w:hint="eastAsia" w:ascii="宋体" w:hAnsi="宋体"/>
        <w:sz w:val="28"/>
        <w:szCs w:val="28"/>
      </w:rPr>
    </w:pPr>
    <w:r>
      <w:rPr>
        <w:rStyle w:val="9"/>
        <w:rFonts w:hint="eastAsia" w:ascii="宋体" w:hAnsi="宋体"/>
        <w:sz w:val="28"/>
        <w:szCs w:val="28"/>
      </w:rPr>
      <w:t xml:space="preserve">— </w:t>
    </w:r>
    <w:r>
      <w:rPr>
        <w:rStyle w:val="9"/>
        <w:rFonts w:ascii="宋体" w:hAnsi="宋体"/>
        <w:sz w:val="28"/>
        <w:szCs w:val="28"/>
      </w:rPr>
      <w:fldChar w:fldCharType="begin"/>
    </w:r>
    <w:r>
      <w:rPr>
        <w:rStyle w:val="9"/>
        <w:rFonts w:ascii="宋体" w:hAnsi="宋体"/>
        <w:sz w:val="28"/>
        <w:szCs w:val="28"/>
      </w:rPr>
      <w:instrText xml:space="preserve"> PAGE </w:instrText>
    </w:r>
    <w:r>
      <w:rPr>
        <w:rStyle w:val="9"/>
        <w:rFonts w:ascii="宋体" w:hAnsi="宋体"/>
        <w:sz w:val="28"/>
        <w:szCs w:val="28"/>
      </w:rPr>
      <w:fldChar w:fldCharType="separate"/>
    </w:r>
    <w:r>
      <w:rPr>
        <w:rStyle w:val="9"/>
        <w:rFonts w:ascii="宋体" w:hAnsi="宋体"/>
        <w:sz w:val="28"/>
        <w:szCs w:val="28"/>
      </w:rPr>
      <w:t>48</w:t>
    </w:r>
    <w:r>
      <w:rPr>
        <w:rStyle w:val="9"/>
        <w:rFonts w:ascii="宋体" w:hAnsi="宋体"/>
        <w:sz w:val="28"/>
        <w:szCs w:val="28"/>
      </w:rPr>
      <w:fldChar w:fldCharType="end"/>
    </w:r>
    <w:r>
      <w:rPr>
        <w:rStyle w:val="9"/>
        <w:rFonts w:hint="eastAsia" w:ascii="宋体" w:hAnsi="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C88E">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F977C">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1234A"/>
    <w:rsid w:val="0002167E"/>
    <w:rsid w:val="00047F81"/>
    <w:rsid w:val="00054CA0"/>
    <w:rsid w:val="00185172"/>
    <w:rsid w:val="001E5837"/>
    <w:rsid w:val="002867AB"/>
    <w:rsid w:val="0031234A"/>
    <w:rsid w:val="00404E13"/>
    <w:rsid w:val="004249D1"/>
    <w:rsid w:val="004B620D"/>
    <w:rsid w:val="005E1D8C"/>
    <w:rsid w:val="0065771A"/>
    <w:rsid w:val="0069445B"/>
    <w:rsid w:val="00711C50"/>
    <w:rsid w:val="0071659D"/>
    <w:rsid w:val="00796173"/>
    <w:rsid w:val="00813B28"/>
    <w:rsid w:val="009A03CE"/>
    <w:rsid w:val="00A5634D"/>
    <w:rsid w:val="00A91C7B"/>
    <w:rsid w:val="00AD702D"/>
    <w:rsid w:val="00B425D0"/>
    <w:rsid w:val="00BB55F6"/>
    <w:rsid w:val="00FA39B5"/>
    <w:rsid w:val="FF7F6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beforeAutospacing="0" w:after="0" w:afterAutospacing="0" w:line="240" w:lineRule="auto"/>
      <w:ind w:firstLine="0" w:firstLineChars="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eastAsia="仿宋_GB2312"/>
      <w:b/>
      <w:bCs/>
      <w:kern w:val="44"/>
      <w:sz w:val="44"/>
      <w:szCs w:val="44"/>
    </w:rPr>
  </w:style>
  <w:style w:type="paragraph" w:styleId="3">
    <w:name w:val="heading 2"/>
    <w:basedOn w:val="1"/>
    <w:next w:val="1"/>
    <w:link w:val="1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qFormat/>
    <w:uiPriority w:val="0"/>
    <w:rPr>
      <w:rFonts w:ascii="仿宋_GB2312" w:eastAsia="仿宋_GB2312"/>
      <w:sz w:val="32"/>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标题 1 Char"/>
    <w:basedOn w:val="8"/>
    <w:link w:val="2"/>
    <w:qFormat/>
    <w:uiPriority w:val="0"/>
    <w:rPr>
      <w:rFonts w:ascii="Times New Roman" w:hAnsi="Times New Roman" w:eastAsia="仿宋_GB2312" w:cs="Times New Roman"/>
      <w:b/>
      <w:bCs/>
      <w:kern w:val="44"/>
      <w:sz w:val="44"/>
      <w:szCs w:val="44"/>
    </w:rPr>
  </w:style>
  <w:style w:type="character" w:customStyle="1" w:styleId="11">
    <w:name w:val="标题 2 Char"/>
    <w:basedOn w:val="8"/>
    <w:link w:val="3"/>
    <w:qFormat/>
    <w:uiPriority w:val="0"/>
    <w:rPr>
      <w:rFonts w:ascii="Arial" w:hAnsi="Arial" w:eastAsia="黑体" w:cs="Times New Roman"/>
      <w:b/>
      <w:bCs/>
      <w:sz w:val="32"/>
      <w:szCs w:val="32"/>
    </w:rPr>
  </w:style>
  <w:style w:type="character" w:customStyle="1" w:styleId="12">
    <w:name w:val="页眉 Char"/>
    <w:basedOn w:val="8"/>
    <w:link w:val="6"/>
    <w:qFormat/>
    <w:uiPriority w:val="0"/>
    <w:rPr>
      <w:rFonts w:ascii="Times New Roman" w:hAnsi="Times New Roman" w:eastAsia="宋体" w:cs="Times New Roman"/>
      <w:sz w:val="18"/>
      <w:szCs w:val="18"/>
    </w:rPr>
  </w:style>
  <w:style w:type="character" w:customStyle="1" w:styleId="13">
    <w:name w:val="页脚 Char"/>
    <w:basedOn w:val="8"/>
    <w:link w:val="5"/>
    <w:qFormat/>
    <w:uiPriority w:val="0"/>
    <w:rPr>
      <w:rFonts w:ascii="Times New Roman" w:hAnsi="Times New Roman" w:eastAsia="宋体" w:cs="Times New Roman"/>
      <w:sz w:val="18"/>
      <w:szCs w:val="18"/>
    </w:rPr>
  </w:style>
  <w:style w:type="character" w:customStyle="1" w:styleId="14">
    <w:name w:val="日期 Char"/>
    <w:basedOn w:val="8"/>
    <w:link w:val="4"/>
    <w:qFormat/>
    <w:uiPriority w:val="0"/>
    <w:rPr>
      <w:rFonts w:ascii="仿宋_GB2312" w:hAnsi="Times New Roman" w:eastAsia="仿宋_GB2312" w:cs="Times New Roman"/>
      <w:sz w:val="32"/>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5.pn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49</Pages>
  <Words>2964</Words>
  <Characters>16901</Characters>
  <Lines>140</Lines>
  <Paragraphs>39</Paragraphs>
  <TotalTime>10</TotalTime>
  <ScaleCrop>false</ScaleCrop>
  <LinksUpToDate>false</LinksUpToDate>
  <CharactersWithSpaces>19826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2018-11-12T15:52:00Z</dcterms:created>
  <dc:creator>szb</dc:creator>
  <cp:lastModifiedBy>fjssms</cp:lastModifiedBy>
  <dcterms:modified xsi:type="dcterms:W3CDTF">2026-10-14T11:18:32Z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7D846136DC95237F88F4CE6A2D3818DD_42</vt:lpwstr>
  </property>
</Properties>
</file>