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73B0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9636B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14:paraId="3690E1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2024年</w:t>
      </w:r>
      <w:r>
        <w:rPr>
          <w:rFonts w:hint="eastAsia" w:ascii="Times New Roman" w:hAnsi="Times New Roman" w:eastAsia="方正小标宋简体" w:cs="Times New Roman"/>
          <w:sz w:val="44"/>
          <w:szCs w:val="44"/>
          <w:lang w:val="en-US" w:eastAsia="zh-CN"/>
        </w:rPr>
        <w:t>沙县区</w:t>
      </w:r>
      <w:r>
        <w:rPr>
          <w:rFonts w:hint="default" w:ascii="Times New Roman" w:hAnsi="Times New Roman" w:eastAsia="方正小标宋简体" w:cs="Times New Roman"/>
          <w:sz w:val="44"/>
          <w:szCs w:val="44"/>
          <w:lang w:val="en-US" w:eastAsia="zh-CN"/>
        </w:rPr>
        <w:t>第二批城镇保障性安居工程中央及省级补助资金</w:t>
      </w:r>
      <w:r>
        <w:rPr>
          <w:rFonts w:hint="eastAsia" w:ascii="Times New Roman" w:hAnsi="Times New Roman" w:eastAsia="方正小标宋简体" w:cs="Times New Roman"/>
          <w:sz w:val="44"/>
          <w:szCs w:val="44"/>
          <w:lang w:val="en-US" w:eastAsia="zh-CN"/>
        </w:rPr>
        <w:t>分配方案</w:t>
      </w:r>
    </w:p>
    <w:p w14:paraId="0DF71F6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0"/>
          <w:szCs w:val="30"/>
        </w:rPr>
      </w:pPr>
    </w:p>
    <w:p w14:paraId="3D26B6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根据</w:t>
      </w:r>
      <w:r>
        <w:rPr>
          <w:rFonts w:hint="default" w:ascii="Times New Roman" w:hAnsi="Times New Roman" w:eastAsia="仿宋_GB2312" w:cs="Times New Roman"/>
          <w:kern w:val="2"/>
          <w:sz w:val="32"/>
          <w:szCs w:val="32"/>
          <w:lang w:val="en-US" w:eastAsia="zh-CN" w:bidi="ar-SA"/>
        </w:rPr>
        <w:t>《福建省财政厅 福建省住房和城乡建设厅关于下达 2024年城镇保障性安居工程中央及省级补助资金的通知》（闽财综指〔2024〕1号）、《三明市财政局 三明市住房和城乡建设局关于下达2024年第二批城镇保障性安居工程中央及省级补助资金的通知》（明财（综）指〔2024〕4号）</w:t>
      </w:r>
      <w:r>
        <w:rPr>
          <w:rFonts w:hint="eastAsia" w:ascii="Times New Roman" w:hAnsi="Times New Roman" w:eastAsia="仿宋_GB2312" w:cs="Times New Roman"/>
          <w:kern w:val="2"/>
          <w:sz w:val="32"/>
          <w:szCs w:val="32"/>
          <w:lang w:val="en-US" w:eastAsia="zh-CN" w:bidi="ar-SA"/>
        </w:rPr>
        <w:t>文件</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现有</w:t>
      </w:r>
      <w:r>
        <w:rPr>
          <w:rFonts w:hint="default" w:ascii="Times New Roman" w:hAnsi="Times New Roman" w:eastAsia="仿宋_GB2312" w:cs="Times New Roman"/>
          <w:kern w:val="2"/>
          <w:sz w:val="32"/>
          <w:szCs w:val="32"/>
          <w:lang w:val="en-US" w:eastAsia="zh-CN" w:bidi="ar-SA"/>
        </w:rPr>
        <w:t>2024年第二批城镇保障性安居工程中央及省级补助资金2841万元下达</w:t>
      </w:r>
      <w:r>
        <w:rPr>
          <w:rFonts w:hint="eastAsia" w:ascii="Times New Roman" w:hAnsi="Times New Roman" w:eastAsia="仿宋_GB2312" w:cs="Times New Roman"/>
          <w:kern w:val="2"/>
          <w:sz w:val="32"/>
          <w:szCs w:val="32"/>
          <w:lang w:val="en-US" w:eastAsia="zh-CN" w:bidi="ar-SA"/>
        </w:rPr>
        <w:t>至</w:t>
      </w:r>
      <w:r>
        <w:rPr>
          <w:rFonts w:hint="default" w:ascii="Times New Roman" w:hAnsi="Times New Roman" w:eastAsia="仿宋_GB2312" w:cs="Times New Roman"/>
          <w:kern w:val="2"/>
          <w:sz w:val="32"/>
          <w:szCs w:val="32"/>
          <w:lang w:val="en-US" w:eastAsia="zh-CN" w:bidi="ar-SA"/>
        </w:rPr>
        <w:t>我区。为</w:t>
      </w:r>
      <w:r>
        <w:rPr>
          <w:rFonts w:hint="default" w:ascii="Times New Roman" w:hAnsi="Times New Roman" w:eastAsia="仿宋_GB2312" w:cs="Times New Roman"/>
          <w:sz w:val="32"/>
          <w:szCs w:val="32"/>
        </w:rPr>
        <w:t>加快</w:t>
      </w:r>
      <w:r>
        <w:rPr>
          <w:rFonts w:hint="default" w:ascii="Times New Roman" w:hAnsi="Times New Roman" w:eastAsia="仿宋_GB2312" w:cs="Times New Roman"/>
          <w:sz w:val="32"/>
          <w:szCs w:val="32"/>
          <w:lang w:val="en-US" w:eastAsia="zh-CN"/>
        </w:rPr>
        <w:t>推进</w:t>
      </w:r>
      <w:r>
        <w:rPr>
          <w:rFonts w:hint="eastAsia" w:ascii="Times New Roman" w:hAnsi="Times New Roman" w:eastAsia="仿宋_GB2312" w:cs="Times New Roman"/>
          <w:sz w:val="32"/>
          <w:szCs w:val="32"/>
          <w:lang w:val="en-US" w:eastAsia="zh-CN"/>
        </w:rPr>
        <w:t>2024年老旧小区增补项目</w:t>
      </w:r>
      <w:r>
        <w:rPr>
          <w:rFonts w:hint="default" w:ascii="Times New Roman" w:hAnsi="Times New Roman" w:eastAsia="仿宋_GB2312" w:cs="Times New Roman"/>
          <w:sz w:val="32"/>
          <w:szCs w:val="32"/>
          <w:lang w:val="en-US" w:eastAsia="zh-CN"/>
        </w:rPr>
        <w:t>改造</w:t>
      </w:r>
      <w:r>
        <w:rPr>
          <w:rFonts w:hint="eastAsia" w:ascii="Times New Roman" w:hAnsi="Times New Roman" w:eastAsia="仿宋_GB2312" w:cs="Times New Roman"/>
          <w:sz w:val="32"/>
          <w:szCs w:val="32"/>
          <w:lang w:eastAsia="zh-CN"/>
        </w:rPr>
        <w:t>工作，用好该补助资金</w:t>
      </w:r>
      <w:r>
        <w:rPr>
          <w:rFonts w:hint="default" w:ascii="Times New Roman" w:hAnsi="Times New Roman" w:eastAsia="仿宋_GB2312" w:cs="Times New Roman"/>
          <w:sz w:val="32"/>
          <w:szCs w:val="32"/>
        </w:rPr>
        <w:t>，根据《财政部</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住</w:t>
      </w:r>
      <w:r>
        <w:rPr>
          <w:rFonts w:hint="default" w:ascii="Times New Roman" w:hAnsi="Times New Roman" w:eastAsia="仿宋_GB2312" w:cs="Times New Roman"/>
          <w:sz w:val="32"/>
          <w:szCs w:val="32"/>
          <w:lang w:eastAsia="zh-CN"/>
        </w:rPr>
        <w:t>房城乡建设</w:t>
      </w:r>
      <w:r>
        <w:rPr>
          <w:rFonts w:hint="default" w:ascii="Times New Roman" w:hAnsi="Times New Roman" w:eastAsia="仿宋_GB2312" w:cs="Times New Roman"/>
          <w:sz w:val="32"/>
          <w:szCs w:val="32"/>
        </w:rPr>
        <w:t>部</w:t>
      </w:r>
      <w:r>
        <w:rPr>
          <w:rFonts w:hint="default" w:ascii="Times New Roman" w:hAnsi="Times New Roman" w:eastAsia="仿宋_GB2312" w:cs="Times New Roman"/>
          <w:sz w:val="32"/>
          <w:szCs w:val="32"/>
          <w:lang w:val="en-US" w:eastAsia="zh-CN"/>
        </w:rPr>
        <w:t>关于</w:t>
      </w:r>
      <w:r>
        <w:rPr>
          <w:rFonts w:hint="default" w:ascii="Times New Roman" w:hAnsi="Times New Roman" w:eastAsia="仿宋_GB2312" w:cs="Times New Roman"/>
          <w:sz w:val="32"/>
          <w:szCs w:val="32"/>
        </w:rPr>
        <w:t>印发〈</w:t>
      </w:r>
      <w:r>
        <w:rPr>
          <w:rFonts w:hint="default" w:ascii="Times New Roman" w:hAnsi="Times New Roman" w:eastAsia="仿宋_GB2312" w:cs="Times New Roman"/>
          <w:sz w:val="32"/>
          <w:szCs w:val="32"/>
          <w:lang w:val="en-US" w:eastAsia="zh-CN"/>
        </w:rPr>
        <w:t>中央</w:t>
      </w:r>
      <w:r>
        <w:rPr>
          <w:rFonts w:hint="default" w:ascii="Times New Roman" w:hAnsi="Times New Roman" w:eastAsia="仿宋_GB2312" w:cs="Times New Roman"/>
          <w:sz w:val="32"/>
          <w:szCs w:val="32"/>
        </w:rPr>
        <w:t>财政城镇保障性安居工程</w:t>
      </w:r>
      <w:r>
        <w:rPr>
          <w:rFonts w:hint="default" w:ascii="Times New Roman" w:hAnsi="Times New Roman" w:eastAsia="仿宋_GB2312" w:cs="Times New Roman"/>
          <w:sz w:val="32"/>
          <w:szCs w:val="32"/>
          <w:lang w:val="en-US" w:eastAsia="zh-CN"/>
        </w:rPr>
        <w:t>补助</w:t>
      </w:r>
      <w:r>
        <w:rPr>
          <w:rFonts w:hint="default" w:ascii="Times New Roman" w:hAnsi="Times New Roman" w:eastAsia="仿宋_GB2312" w:cs="Times New Roman"/>
          <w:sz w:val="32"/>
          <w:szCs w:val="32"/>
        </w:rPr>
        <w:t>资金管理办法〉的通知》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w:t>
      </w:r>
      <w:r>
        <w:rPr>
          <w:rFonts w:hint="default" w:ascii="Times New Roman" w:hAnsi="Times New Roman" w:eastAsia="仿宋_GB2312" w:cs="Times New Roman"/>
          <w:sz w:val="32"/>
          <w:szCs w:val="32"/>
          <w:lang w:val="en-US" w:eastAsia="zh-CN"/>
        </w:rPr>
        <w:t>综</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2022</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37</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文件要求采取因素法，根据</w:t>
      </w:r>
      <w:r>
        <w:rPr>
          <w:rFonts w:hint="default" w:ascii="Times New Roman" w:hAnsi="Times New Roman" w:eastAsia="仿宋_GB2312" w:cs="Times New Roman"/>
          <w:kern w:val="2"/>
          <w:sz w:val="32"/>
          <w:szCs w:val="32"/>
          <w:lang w:val="en-US" w:eastAsia="zh-CN" w:bidi="ar-SA"/>
        </w:rPr>
        <w:t>2024年凤岗、虬江两个街道申报</w:t>
      </w:r>
      <w:r>
        <w:rPr>
          <w:rFonts w:hint="eastAsia" w:ascii="Times New Roman" w:hAnsi="Times New Roman" w:eastAsia="仿宋_GB2312" w:cs="Times New Roman"/>
          <w:kern w:val="2"/>
          <w:sz w:val="32"/>
          <w:szCs w:val="32"/>
          <w:lang w:val="en-US" w:eastAsia="zh-CN" w:bidi="ar-SA"/>
        </w:rPr>
        <w:t>的改造户数</w:t>
      </w:r>
      <w:r>
        <w:rPr>
          <w:rFonts w:hint="default" w:ascii="Times New Roman" w:hAnsi="Times New Roman" w:eastAsia="仿宋_GB2312" w:cs="Times New Roman"/>
          <w:kern w:val="2"/>
          <w:sz w:val="32"/>
          <w:szCs w:val="32"/>
          <w:lang w:val="en-US" w:eastAsia="zh-CN" w:bidi="ar-SA"/>
        </w:rPr>
        <w:t>、改造</w:t>
      </w:r>
      <w:r>
        <w:rPr>
          <w:rFonts w:hint="eastAsia" w:ascii="Times New Roman" w:hAnsi="Times New Roman" w:eastAsia="仿宋_GB2312" w:cs="Times New Roman"/>
          <w:kern w:val="2"/>
          <w:sz w:val="32"/>
          <w:szCs w:val="32"/>
          <w:lang w:val="en-US" w:eastAsia="zh-CN" w:bidi="ar-SA"/>
        </w:rPr>
        <w:t>面积、</w:t>
      </w:r>
      <w:r>
        <w:rPr>
          <w:rFonts w:hint="default" w:ascii="Times New Roman" w:hAnsi="Times New Roman" w:eastAsia="仿宋_GB2312" w:cs="Times New Roman"/>
          <w:kern w:val="2"/>
          <w:sz w:val="32"/>
          <w:szCs w:val="32"/>
          <w:lang w:val="en-US" w:eastAsia="zh-CN" w:bidi="ar-SA"/>
        </w:rPr>
        <w:t>改造楼栋数</w:t>
      </w:r>
      <w:r>
        <w:rPr>
          <w:rFonts w:hint="eastAsia" w:ascii="Times New Roman" w:hAnsi="Times New Roman" w:eastAsia="仿宋_GB2312" w:cs="Times New Roman"/>
          <w:kern w:val="2"/>
          <w:sz w:val="32"/>
          <w:szCs w:val="32"/>
          <w:lang w:val="en-US" w:eastAsia="zh-CN" w:bidi="ar-SA"/>
        </w:rPr>
        <w:t>、改造</w:t>
      </w:r>
      <w:r>
        <w:rPr>
          <w:rFonts w:hint="default" w:ascii="Times New Roman" w:hAnsi="Times New Roman" w:eastAsia="仿宋_GB2312" w:cs="Times New Roman"/>
          <w:kern w:val="2"/>
          <w:sz w:val="32"/>
          <w:szCs w:val="32"/>
          <w:lang w:val="en-US" w:eastAsia="zh-CN" w:bidi="ar-SA"/>
        </w:rPr>
        <w:t>小区个数等因素以及相应权重分别为40%、40%、10%、10%进行资金二次分配。经测算，2024年凤岗街道分配资金1568.59万元，虬江街道分配资金1272.41万元</w:t>
      </w:r>
      <w:r>
        <w:rPr>
          <w:rFonts w:hint="default" w:ascii="Times New Roman" w:hAnsi="Times New Roman" w:eastAsia="仿宋_GB2312" w:cs="Times New Roman"/>
          <w:sz w:val="32"/>
          <w:szCs w:val="32"/>
        </w:rPr>
        <w:t>。</w:t>
      </w:r>
    </w:p>
    <w:p w14:paraId="51AAE58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p>
    <w:p w14:paraId="69E64F5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p>
    <w:p w14:paraId="20F8D1DD">
      <w:pPr>
        <w:pStyle w:val="8"/>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p>
    <w:tbl>
      <w:tblPr>
        <w:tblStyle w:val="6"/>
        <w:tblpPr w:leftFromText="180" w:rightFromText="180" w:vertAnchor="page" w:horzAnchor="page" w:tblpXSpec="center" w:tblpY="1891"/>
        <w:tblOverlap w:val="never"/>
        <w:tblW w:w="4685" w:type="pct"/>
        <w:jc w:val="center"/>
        <w:shd w:val="clear" w:color="auto" w:fill="auto"/>
        <w:tblLayout w:type="fixed"/>
        <w:tblCellMar>
          <w:top w:w="0" w:type="dxa"/>
          <w:left w:w="0" w:type="dxa"/>
          <w:bottom w:w="0" w:type="dxa"/>
          <w:right w:w="0" w:type="dxa"/>
        </w:tblCellMar>
      </w:tblPr>
      <w:tblGrid>
        <w:gridCol w:w="326"/>
        <w:gridCol w:w="570"/>
        <w:gridCol w:w="528"/>
        <w:gridCol w:w="2214"/>
        <w:gridCol w:w="793"/>
        <w:gridCol w:w="836"/>
        <w:gridCol w:w="1125"/>
        <w:gridCol w:w="675"/>
        <w:gridCol w:w="744"/>
      </w:tblGrid>
      <w:tr w14:paraId="5DFD744C">
        <w:tblPrEx>
          <w:shd w:val="clear" w:color="auto" w:fill="auto"/>
          <w:tblCellMar>
            <w:top w:w="0" w:type="dxa"/>
            <w:left w:w="0" w:type="dxa"/>
            <w:bottom w:w="0" w:type="dxa"/>
            <w:right w:w="0" w:type="dxa"/>
          </w:tblCellMar>
        </w:tblPrEx>
        <w:trPr>
          <w:trHeight w:val="967" w:hRule="atLeast"/>
          <w:tblHeader/>
          <w:jc w:val="center"/>
        </w:trPr>
        <w:tc>
          <w:tcPr>
            <w:tcW w:w="5000" w:type="pct"/>
            <w:gridSpan w:val="9"/>
            <w:tcBorders>
              <w:top w:val="nil"/>
              <w:left w:val="nil"/>
              <w:bottom w:val="single" w:color="000000" w:sz="4" w:space="0"/>
              <w:right w:val="nil"/>
            </w:tcBorders>
            <w:shd w:val="clear" w:color="auto" w:fill="auto"/>
            <w:tcMar>
              <w:top w:w="15" w:type="dxa"/>
              <w:left w:w="15" w:type="dxa"/>
              <w:right w:w="15" w:type="dxa"/>
            </w:tcMar>
            <w:vAlign w:val="center"/>
          </w:tcPr>
          <w:p w14:paraId="7AE079F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2024年沙县区第二批城镇保障性安居工程中央及省级补助资金具体分配表</w:t>
            </w:r>
          </w:p>
          <w:p w14:paraId="2559B407">
            <w:pPr>
              <w:pStyle w:val="8"/>
              <w:rPr>
                <w:rFonts w:hint="eastAsia"/>
                <w:lang w:val="en-US" w:eastAsia="zh-CN"/>
              </w:rPr>
            </w:pPr>
          </w:p>
        </w:tc>
      </w:tr>
      <w:tr w14:paraId="15CF0D2B">
        <w:tblPrEx>
          <w:tblCellMar>
            <w:top w:w="0" w:type="dxa"/>
            <w:left w:w="0" w:type="dxa"/>
            <w:bottom w:w="0" w:type="dxa"/>
            <w:right w:w="0" w:type="dxa"/>
          </w:tblCellMar>
        </w:tblPrEx>
        <w:trPr>
          <w:trHeight w:val="967" w:hRule="atLeast"/>
          <w:tblHeader/>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42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序号</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F1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县、（区）</w:t>
            </w:r>
          </w:p>
        </w:tc>
        <w:tc>
          <w:tcPr>
            <w:tcW w:w="3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34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所在街道</w:t>
            </w:r>
          </w:p>
        </w:tc>
        <w:tc>
          <w:tcPr>
            <w:tcW w:w="1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DE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21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涉及户数（户）</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3C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涉及楼栋数（栋）</w:t>
            </w: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B3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改造面积 （万平方米）</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50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小区个数（个）</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1E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补助资金（万元）</w:t>
            </w:r>
          </w:p>
        </w:tc>
      </w:tr>
      <w:tr w14:paraId="7301C60D">
        <w:tblPrEx>
          <w:tblCellMar>
            <w:top w:w="0" w:type="dxa"/>
            <w:left w:w="0" w:type="dxa"/>
            <w:bottom w:w="0" w:type="dxa"/>
            <w:right w:w="0" w:type="dxa"/>
          </w:tblCellMar>
        </w:tblPrEx>
        <w:trPr>
          <w:trHeight w:val="984"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482F8">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1695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沙</w:t>
            </w:r>
          </w:p>
          <w:p w14:paraId="3828FE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县</w:t>
            </w:r>
          </w:p>
          <w:p w14:paraId="6F0FB55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区</w:t>
            </w:r>
          </w:p>
        </w:tc>
        <w:tc>
          <w:tcPr>
            <w:tcW w:w="3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B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凤岗街道</w:t>
            </w:r>
          </w:p>
        </w:tc>
        <w:tc>
          <w:tcPr>
            <w:tcW w:w="1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17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沙县区皇榜路新村周边老旧小区改造配套基础设施建设项目</w:t>
            </w:r>
          </w:p>
        </w:tc>
        <w:tc>
          <w:tcPr>
            <w:tcW w:w="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0378">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494</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54A94">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w:t>
            </w: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E0DEF">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7.71</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99C8B">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AB88C">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270.06</w:t>
            </w:r>
          </w:p>
        </w:tc>
      </w:tr>
      <w:tr w14:paraId="4A960323">
        <w:tblPrEx>
          <w:tblCellMar>
            <w:top w:w="0" w:type="dxa"/>
            <w:left w:w="0" w:type="dxa"/>
            <w:bottom w:w="0" w:type="dxa"/>
            <w:right w:w="0" w:type="dxa"/>
          </w:tblCellMar>
        </w:tblPrEx>
        <w:trPr>
          <w:trHeight w:val="107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E1302">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F2FB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沙</w:t>
            </w:r>
          </w:p>
          <w:p w14:paraId="6D14E6B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县</w:t>
            </w:r>
          </w:p>
          <w:p w14:paraId="6AD1227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w:t>
            </w:r>
          </w:p>
        </w:tc>
        <w:tc>
          <w:tcPr>
            <w:tcW w:w="3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42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凤岗街道</w:t>
            </w:r>
          </w:p>
        </w:tc>
        <w:tc>
          <w:tcPr>
            <w:tcW w:w="1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A4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沙县区城西新村片（金沙市场、月亮湾）周边老旧小区改造配套基础设施建设项目</w:t>
            </w:r>
          </w:p>
        </w:tc>
        <w:tc>
          <w:tcPr>
            <w:tcW w:w="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92219">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682</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F51C9">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86501">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12.4</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2BAD3">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03CD1">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407.31</w:t>
            </w:r>
          </w:p>
        </w:tc>
      </w:tr>
      <w:tr w14:paraId="6649DC3C">
        <w:tblPrEx>
          <w:tblCellMar>
            <w:top w:w="0" w:type="dxa"/>
            <w:left w:w="0" w:type="dxa"/>
            <w:bottom w:w="0" w:type="dxa"/>
            <w:right w:w="0" w:type="dxa"/>
          </w:tblCellMar>
        </w:tblPrEx>
        <w:trPr>
          <w:trHeight w:val="995"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F1F6B">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C2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沙</w:t>
            </w:r>
          </w:p>
          <w:p w14:paraId="3D77EC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县</w:t>
            </w:r>
          </w:p>
          <w:p w14:paraId="70DD03F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w:t>
            </w:r>
          </w:p>
        </w:tc>
        <w:tc>
          <w:tcPr>
            <w:tcW w:w="3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54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凤岗街道</w:t>
            </w:r>
          </w:p>
        </w:tc>
        <w:tc>
          <w:tcPr>
            <w:tcW w:w="1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89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沙县区铁路沿线新村周边老旧小区改造配套基础设施建设项目</w:t>
            </w:r>
          </w:p>
        </w:tc>
        <w:tc>
          <w:tcPr>
            <w:tcW w:w="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FDCB">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1097</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D026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1058</w:t>
            </w: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F8AD2">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29.6</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C718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E563A">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891.22</w:t>
            </w:r>
          </w:p>
        </w:tc>
      </w:tr>
      <w:tr w14:paraId="6BDC3375">
        <w:tblPrEx>
          <w:tblCellMar>
            <w:top w:w="0" w:type="dxa"/>
            <w:left w:w="0" w:type="dxa"/>
            <w:bottom w:w="0" w:type="dxa"/>
            <w:right w:w="0" w:type="dxa"/>
          </w:tblCellMar>
        </w:tblPrEx>
        <w:trPr>
          <w:trHeight w:val="107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2A6CB">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B312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沙</w:t>
            </w:r>
          </w:p>
          <w:p w14:paraId="136B5B1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县</w:t>
            </w:r>
          </w:p>
          <w:p w14:paraId="5B43C03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w:t>
            </w:r>
          </w:p>
        </w:tc>
        <w:tc>
          <w:tcPr>
            <w:tcW w:w="3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3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虬江</w:t>
            </w:r>
            <w:r>
              <w:rPr>
                <w:rFonts w:hint="eastAsia" w:ascii="宋体" w:hAnsi="宋体" w:eastAsia="宋体" w:cs="宋体"/>
                <w:i w:val="0"/>
                <w:color w:val="000000"/>
                <w:kern w:val="0"/>
                <w:sz w:val="18"/>
                <w:szCs w:val="18"/>
                <w:u w:val="none"/>
                <w:lang w:val="en-US" w:eastAsia="zh-CN" w:bidi="ar"/>
              </w:rPr>
              <w:t>街道</w:t>
            </w:r>
          </w:p>
        </w:tc>
        <w:tc>
          <w:tcPr>
            <w:tcW w:w="1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2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沙县区沙溪以南向莆铁路至罗布路周边新村老旧小区改造配套基础设施建设项目</w:t>
            </w:r>
          </w:p>
        </w:tc>
        <w:tc>
          <w:tcPr>
            <w:tcW w:w="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FE17F">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2167</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B8B4D">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444</w:t>
            </w: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B45DB">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35.695</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090B4">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59C13">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1272.41</w:t>
            </w:r>
          </w:p>
        </w:tc>
      </w:tr>
      <w:tr w14:paraId="3392BCC6">
        <w:tblPrEx>
          <w:tblCellMar>
            <w:top w:w="0" w:type="dxa"/>
            <w:left w:w="0" w:type="dxa"/>
            <w:bottom w:w="0" w:type="dxa"/>
            <w:right w:w="0" w:type="dxa"/>
          </w:tblCellMar>
        </w:tblPrEx>
        <w:trPr>
          <w:trHeight w:val="522" w:hRule="atLeast"/>
          <w:jc w:val="center"/>
        </w:trPr>
        <w:tc>
          <w:tcPr>
            <w:tcW w:w="232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32FD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13D1E">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4440</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5A6FD">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1610</w:t>
            </w: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1F499">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85.41</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F87A3">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A0EB">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2841</w:t>
            </w:r>
          </w:p>
        </w:tc>
      </w:tr>
    </w:tbl>
    <w:p w14:paraId="3FCC4F92">
      <w:pPr>
        <w:pStyle w:val="8"/>
        <w:rPr>
          <w:rFonts w:hint="eastAsia" w:ascii="仿宋_GB2312" w:hAnsi="仿宋_GB2312" w:eastAsia="仿宋_GB2312" w:cs="仿宋_GB2312"/>
          <w:sz w:val="32"/>
          <w:szCs w:val="32"/>
        </w:rPr>
      </w:pPr>
    </w:p>
    <w:p w14:paraId="4DC74C84">
      <w:pPr>
        <w:pStyle w:val="8"/>
        <w:rPr>
          <w:rFonts w:hint="eastAsia" w:ascii="仿宋_GB2312" w:hAnsi="仿宋_GB2312" w:eastAsia="仿宋_GB2312" w:cs="仿宋_GB2312"/>
          <w:sz w:val="32"/>
          <w:szCs w:val="32"/>
        </w:rPr>
      </w:pPr>
    </w:p>
    <w:p w14:paraId="7C2EC9B5">
      <w:pPr>
        <w:pStyle w:val="8"/>
        <w:rPr>
          <w:rFonts w:hint="eastAsia" w:ascii="仿宋_GB2312" w:hAnsi="仿宋_GB2312" w:eastAsia="仿宋_GB2312" w:cs="仿宋_GB2312"/>
          <w:sz w:val="32"/>
          <w:szCs w:val="32"/>
        </w:rPr>
      </w:pPr>
      <w:bookmarkStart w:id="0" w:name="_GoBack"/>
      <w:bookmarkEnd w:id="0"/>
    </w:p>
    <w:p w14:paraId="54B5BBCB">
      <w:pPr>
        <w:pStyle w:val="8"/>
        <w:rPr>
          <w:rFonts w:hint="eastAsia" w:ascii="仿宋_GB2312" w:hAnsi="仿宋_GB2312" w:eastAsia="仿宋_GB2312" w:cs="仿宋_GB2312"/>
          <w:sz w:val="32"/>
          <w:szCs w:val="32"/>
        </w:rPr>
      </w:pPr>
    </w:p>
    <w:p w14:paraId="6ABF5108">
      <w:pPr>
        <w:pStyle w:val="8"/>
        <w:rPr>
          <w:rFonts w:hint="eastAsia" w:ascii="仿宋_GB2312" w:hAnsi="仿宋_GB2312" w:eastAsia="仿宋_GB2312" w:cs="仿宋_GB2312"/>
          <w:sz w:val="32"/>
          <w:szCs w:val="32"/>
        </w:rPr>
      </w:pPr>
    </w:p>
    <w:p w14:paraId="0D95220D">
      <w:pPr>
        <w:pStyle w:val="8"/>
        <w:rPr>
          <w:rFonts w:hint="eastAsia" w:ascii="仿宋_GB2312" w:hAnsi="仿宋_GB2312" w:eastAsia="仿宋_GB2312" w:cs="仿宋_GB2312"/>
          <w:sz w:val="32"/>
          <w:szCs w:val="32"/>
        </w:rPr>
      </w:pPr>
    </w:p>
    <w:p w14:paraId="1ACDDBD0">
      <w:pPr>
        <w:pStyle w:val="8"/>
        <w:rPr>
          <w:rFonts w:hint="eastAsia" w:ascii="仿宋_GB2312" w:hAnsi="仿宋_GB2312" w:eastAsia="仿宋_GB2312" w:cs="仿宋_GB2312"/>
          <w:sz w:val="32"/>
          <w:szCs w:val="32"/>
        </w:rPr>
      </w:pPr>
    </w:p>
    <w:p w14:paraId="762D8EC1">
      <w:pPr>
        <w:pStyle w:val="8"/>
        <w:rPr>
          <w:rFonts w:hint="eastAsia" w:ascii="仿宋_GB2312" w:hAnsi="仿宋_GB2312" w:eastAsia="仿宋_GB2312" w:cs="仿宋_GB2312"/>
          <w:sz w:val="32"/>
          <w:szCs w:val="32"/>
        </w:rPr>
      </w:pPr>
    </w:p>
    <w:tbl>
      <w:tblPr>
        <w:tblStyle w:val="6"/>
        <w:tblpPr w:leftFromText="181" w:rightFromText="181" w:horzAnchor="page" w:tblpX="1588" w:tblpYSpec="bottom"/>
        <w:tblOverlap w:val="never"/>
        <w:tblW w:w="8844" w:type="dxa"/>
        <w:tblInd w:w="108"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60"/>
        <w:gridCol w:w="3584"/>
      </w:tblGrid>
      <w:tr w14:paraId="5AE7D6A3">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5260" w:type="dxa"/>
            <w:tcBorders>
              <w:top w:val="single" w:color="auto" w:sz="6" w:space="0"/>
              <w:bottom w:val="single" w:color="auto" w:sz="8" w:space="0"/>
            </w:tcBorders>
            <w:noWrap w:val="0"/>
            <w:tcMar>
              <w:right w:w="113" w:type="dxa"/>
            </w:tcMar>
            <w:vAlign w:val="center"/>
          </w:tcPr>
          <w:p w14:paraId="203D819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pacing w:val="0"/>
                <w:w w:val="100"/>
                <w:kern w:val="0"/>
                <w:sz w:val="30"/>
                <w:szCs w:val="30"/>
                <w:fitText w:val="5120" w:id="1072951494"/>
                <w:lang w:val="en-US" w:eastAsia="zh-CN"/>
              </w:rPr>
              <w:t>三明市沙县区住房和城乡建设局办公室</w:t>
            </w:r>
          </w:p>
        </w:tc>
        <w:tc>
          <w:tcPr>
            <w:tcW w:w="3584" w:type="dxa"/>
            <w:tcBorders>
              <w:top w:val="single" w:color="auto" w:sz="6" w:space="0"/>
              <w:bottom w:val="single" w:color="auto" w:sz="8" w:space="0"/>
            </w:tcBorders>
            <w:noWrap w:val="0"/>
            <w:tcMar>
              <w:right w:w="113" w:type="dxa"/>
            </w:tcMar>
            <w:vAlign w:val="center"/>
          </w:tcPr>
          <w:p w14:paraId="5D42E64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0"/>
                <w:szCs w:val="30"/>
                <w:lang w:eastAsia="zh-CN"/>
              </w:rPr>
              <w:t>202</w:t>
            </w:r>
            <w:r>
              <w:rPr>
                <w:rFonts w:hint="default" w:ascii="Times New Roman" w:hAnsi="Times New Roman" w:eastAsia="方正仿宋简体" w:cs="Times New Roman"/>
                <w:sz w:val="30"/>
                <w:szCs w:val="30"/>
                <w:lang w:val="en-US" w:eastAsia="zh-CN"/>
              </w:rPr>
              <w:t>4</w:t>
            </w:r>
            <w:r>
              <w:rPr>
                <w:rFonts w:hint="default" w:ascii="Times New Roman" w:hAnsi="Times New Roman" w:eastAsia="方正仿宋简体" w:cs="Times New Roman"/>
                <w:sz w:val="30"/>
                <w:szCs w:val="30"/>
                <w:lang w:eastAsia="zh-CN"/>
              </w:rPr>
              <w:t>年</w:t>
            </w:r>
            <w:r>
              <w:rPr>
                <w:rFonts w:hint="eastAsia" w:ascii="Times New Roman" w:hAnsi="Times New Roman" w:eastAsia="方正仿宋简体" w:cs="Times New Roman"/>
                <w:sz w:val="30"/>
                <w:szCs w:val="30"/>
                <w:lang w:val="en-US" w:eastAsia="zh-CN"/>
              </w:rPr>
              <w:t>8</w:t>
            </w:r>
            <w:r>
              <w:rPr>
                <w:rFonts w:hint="default" w:ascii="Times New Roman" w:hAnsi="Times New Roman" w:eastAsia="方正仿宋简体" w:cs="Times New Roman"/>
                <w:sz w:val="30"/>
                <w:szCs w:val="30"/>
                <w:lang w:eastAsia="zh-CN"/>
              </w:rPr>
              <w:t>月</w:t>
            </w:r>
            <w:r>
              <w:rPr>
                <w:rFonts w:hint="eastAsia" w:ascii="Times New Roman" w:hAnsi="Times New Roman" w:eastAsia="方正仿宋简体" w:cs="Times New Roman"/>
                <w:sz w:val="30"/>
                <w:szCs w:val="30"/>
                <w:lang w:val="en-US" w:eastAsia="zh-CN"/>
              </w:rPr>
              <w:t>21</w:t>
            </w:r>
            <w:r>
              <w:rPr>
                <w:rFonts w:hint="default" w:ascii="Times New Roman" w:hAnsi="Times New Roman" w:eastAsia="方正仿宋简体" w:cs="Times New Roman"/>
                <w:sz w:val="30"/>
                <w:szCs w:val="30"/>
                <w:lang w:eastAsia="zh-CN"/>
              </w:rPr>
              <w:t>日</w:t>
            </w:r>
            <w:r>
              <w:rPr>
                <w:rFonts w:hint="default" w:ascii="Times New Roman" w:hAnsi="Times New Roman" w:eastAsia="方正仿宋简体" w:cs="Times New Roman"/>
                <w:sz w:val="30"/>
                <w:szCs w:val="30"/>
              </w:rPr>
              <w:t>印发</w:t>
            </w:r>
          </w:p>
        </w:tc>
      </w:tr>
    </w:tbl>
    <w:p w14:paraId="63FAD98B">
      <w:pPr>
        <w:pStyle w:val="8"/>
        <w:rPr>
          <w:rFonts w:hint="eastAsia" w:ascii="仿宋_GB2312" w:hAnsi="仿宋_GB2312" w:eastAsia="仿宋_GB2312" w:cs="仿宋_GB2312"/>
          <w:sz w:val="32"/>
          <w:szCs w:val="32"/>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AA2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5A8DCE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25A8DCE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MjMxZDU4MGFjYzNiMjY0Njk0MmZlMjQxODAzNGEifQ=="/>
  </w:docVars>
  <w:rsids>
    <w:rsidRoot w:val="00000000"/>
    <w:rsid w:val="4EB440A2"/>
    <w:rsid w:val="6D3F206A"/>
    <w:rsid w:val="6D850504"/>
    <w:rsid w:val="7DF8A7D7"/>
    <w:rsid w:val="ECDE83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eastAsia="仿宋_GB2312"/>
      <w:sz w:val="32"/>
      <w:szCs w:val="32"/>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1"/>
    <w:qFormat/>
    <w:uiPriority w:val="0"/>
    <w:pPr>
      <w:autoSpaceDE w:val="0"/>
      <w:autoSpaceDN w:val="0"/>
      <w:adjustRightInd w:val="0"/>
      <w:jc w:val="left"/>
    </w:pPr>
    <w:rPr>
      <w:rFonts w:ascii="Times New Roman" w:hAnsi="Times New Roman"/>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673</Words>
  <Characters>801</Characters>
  <Lines>0</Lines>
  <Paragraphs>0</Paragraphs>
  <TotalTime>0</TotalTime>
  <ScaleCrop>false</ScaleCrop>
  <LinksUpToDate>false</LinksUpToDate>
  <CharactersWithSpaces>806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2024-08-27T15:52:00Z</dcterms:created>
  <dc:creator>Administrator</dc:creator>
  <cp:lastModifiedBy>一米阳光。</cp:lastModifiedBy>
  <cp:lastPrinted>2024-08-27T16:41:00Z</cp:lastPrinted>
  <dcterms:modified xsi:type="dcterms:W3CDTF">2024-08-30T04:28:53Z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D0F193B1F3D145FA91047A77104B8245_13</vt:lpwstr>
  </property>
</Properties>
</file>